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E708" w14:textId="77777777" w:rsidR="00D83408" w:rsidRDefault="00D83408">
      <w:pPr>
        <w:rPr>
          <w:rFonts w:ascii="Open Sans" w:eastAsia="Open Sans" w:hAnsi="Open Sans" w:cs="Open Sans"/>
          <w:b/>
          <w:sz w:val="26"/>
          <w:szCs w:val="26"/>
        </w:rPr>
      </w:pPr>
    </w:p>
    <w:p w14:paraId="4EF687CD" w14:textId="77777777" w:rsidR="00914AD2" w:rsidRDefault="00914AD2">
      <w:pPr>
        <w:rPr>
          <w:rFonts w:ascii="Open Sans" w:eastAsia="Open Sans" w:hAnsi="Open Sans" w:cs="Open Sans"/>
          <w:b/>
          <w:sz w:val="26"/>
          <w:szCs w:val="26"/>
        </w:rPr>
      </w:pPr>
    </w:p>
    <w:p w14:paraId="62C4AC12" w14:textId="77777777" w:rsidR="00914AD2" w:rsidRDefault="00914AD2">
      <w:pPr>
        <w:rPr>
          <w:rFonts w:ascii="Open Sans" w:eastAsia="Open Sans" w:hAnsi="Open Sans" w:cs="Open Sans"/>
          <w:b/>
          <w:sz w:val="26"/>
          <w:szCs w:val="26"/>
        </w:rPr>
      </w:pPr>
    </w:p>
    <w:tbl>
      <w:tblPr>
        <w:tblStyle w:val="a"/>
        <w:tblW w:w="118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914AD2" w:rsidRPr="002F33F1" w14:paraId="55379D25" w14:textId="77777777">
        <w:trPr>
          <w:trHeight w:val="917"/>
        </w:trPr>
        <w:tc>
          <w:tcPr>
            <w:tcW w:w="11880" w:type="dxa"/>
            <w:tcBorders>
              <w:top w:val="single" w:sz="8" w:space="0" w:color="A2C4C9"/>
              <w:left w:val="single" w:sz="8" w:space="0" w:color="A2C4C9"/>
              <w:bottom w:val="single" w:sz="8" w:space="0" w:color="A2C4C9"/>
              <w:right w:val="single" w:sz="8" w:space="0" w:color="A2C4C9"/>
            </w:tcBorders>
            <w:shd w:val="clear" w:color="auto" w:fill="A2C4C9"/>
            <w:tcMar>
              <w:top w:w="100" w:type="dxa"/>
              <w:left w:w="100" w:type="dxa"/>
              <w:bottom w:w="100" w:type="dxa"/>
              <w:right w:w="100" w:type="dxa"/>
            </w:tcMar>
            <w:vAlign w:val="center"/>
          </w:tcPr>
          <w:p w14:paraId="2E0A1E42" w14:textId="16A26824" w:rsidR="00914AD2" w:rsidRPr="00384BAA" w:rsidRDefault="00291918">
            <w:pPr>
              <w:rPr>
                <w:rFonts w:ascii="Open Sans" w:eastAsia="Open Sans" w:hAnsi="Open Sans" w:cs="Open Sans"/>
                <w:b/>
                <w:sz w:val="26"/>
                <w:szCs w:val="26"/>
                <w:lang w:val="en-US"/>
              </w:rPr>
            </w:pPr>
            <w:r w:rsidRPr="00384BAA">
              <w:rPr>
                <w:rFonts w:ascii="Open Sans" w:eastAsia="Open Sans" w:hAnsi="Open Sans" w:cs="Open Sans"/>
                <w:b/>
                <w:sz w:val="26"/>
                <w:szCs w:val="26"/>
                <w:lang w:val="en-US"/>
              </w:rPr>
              <w:t xml:space="preserve">                   </w:t>
            </w:r>
            <w:r w:rsidR="00D83408" w:rsidRPr="00384BAA">
              <w:rPr>
                <w:rFonts w:ascii="Open Sans" w:eastAsia="Open Sans" w:hAnsi="Open Sans" w:cs="Open Sans"/>
                <w:b/>
                <w:sz w:val="26"/>
                <w:szCs w:val="26"/>
                <w:lang w:val="en-US"/>
              </w:rPr>
              <w:t xml:space="preserve">Guide to using Wired Relations' templates </w:t>
            </w:r>
          </w:p>
        </w:tc>
      </w:tr>
    </w:tbl>
    <w:p w14:paraId="7C0B162C" w14:textId="5073A118" w:rsidR="00D83408" w:rsidRPr="00384BAA" w:rsidRDefault="00D83408" w:rsidP="00D83408">
      <w:pPr>
        <w:rPr>
          <w:rFonts w:ascii="Open Sans" w:eastAsia="Open Sans" w:hAnsi="Open Sans" w:cs="Open Sans"/>
          <w:lang w:val="en-US"/>
        </w:rPr>
      </w:pPr>
      <w:r w:rsidRPr="00384BAA">
        <w:rPr>
          <w:rFonts w:ascii="Open Sans" w:eastAsia="Open Sans" w:hAnsi="Open Sans" w:cs="Open Sans"/>
          <w:lang w:val="en-US"/>
        </w:rPr>
        <w:br/>
      </w:r>
    </w:p>
    <w:p w14:paraId="505E8F4B" w14:textId="77777777" w:rsidR="00D83408" w:rsidRPr="002F33F1" w:rsidRDefault="00D83408" w:rsidP="00D83408">
      <w:pPr>
        <w:rPr>
          <w:rFonts w:ascii="Open Sans" w:eastAsia="Open Sans" w:hAnsi="Open Sans" w:cs="Open Sans"/>
          <w:lang w:val="en-US"/>
        </w:rPr>
      </w:pPr>
      <w:r w:rsidRPr="002F33F1">
        <w:rPr>
          <w:rFonts w:ascii="Open Sans" w:eastAsia="Open Sans" w:hAnsi="Open Sans" w:cs="Open Sans"/>
          <w:lang w:val="en-US"/>
        </w:rPr>
        <w:t>Wired Relations' templates* can be used directly in your work with data protection and information security - but can also be used as inspiration for your own material. You can modify them as needed to make them exactly as you want them.</w:t>
      </w:r>
    </w:p>
    <w:p w14:paraId="68564DCD" w14:textId="77777777" w:rsidR="00D83408" w:rsidRPr="002F33F1" w:rsidRDefault="00D83408" w:rsidP="00D83408">
      <w:pPr>
        <w:rPr>
          <w:rFonts w:ascii="Open Sans" w:eastAsia="Open Sans" w:hAnsi="Open Sans" w:cs="Open Sans"/>
          <w:lang w:val="en-US"/>
        </w:rPr>
      </w:pPr>
    </w:p>
    <w:p w14:paraId="56AC0D15" w14:textId="6F81F9BA" w:rsidR="00D83408" w:rsidRPr="002F33F1" w:rsidRDefault="00D83408" w:rsidP="00D83408">
      <w:pPr>
        <w:rPr>
          <w:rFonts w:ascii="Open Sans" w:eastAsia="Open Sans" w:hAnsi="Open Sans" w:cs="Open Sans"/>
          <w:lang w:val="en-US"/>
        </w:rPr>
      </w:pPr>
      <w:r w:rsidRPr="002F33F1">
        <w:rPr>
          <w:rFonts w:ascii="Open Sans" w:eastAsia="Open Sans" w:hAnsi="Open Sans" w:cs="Open Sans"/>
          <w:lang w:val="en-US"/>
        </w:rPr>
        <w:t>NOTE! There may be sections that are not relevant to all organizations. If this is the case, it will be clearly indicated in the text.</w:t>
      </w:r>
    </w:p>
    <w:p w14:paraId="0C5E923F" w14:textId="77777777" w:rsidR="00D83408" w:rsidRPr="002F33F1" w:rsidRDefault="00D83408" w:rsidP="00D83408">
      <w:pPr>
        <w:rPr>
          <w:rFonts w:ascii="Open Sans" w:eastAsia="Open Sans" w:hAnsi="Open Sans" w:cs="Open Sans"/>
          <w:lang w:val="en-US"/>
        </w:rPr>
      </w:pPr>
    </w:p>
    <w:p w14:paraId="4B253732" w14:textId="55109B88" w:rsidR="00F46502" w:rsidRPr="002F33F1" w:rsidRDefault="00D83408" w:rsidP="00D83408">
      <w:pPr>
        <w:rPr>
          <w:rFonts w:ascii="Open Sans" w:eastAsia="Open Sans" w:hAnsi="Open Sans" w:cs="Open Sans"/>
          <w:lang w:val="en-US"/>
        </w:rPr>
      </w:pPr>
      <w:r w:rsidRPr="002F33F1">
        <w:rPr>
          <w:rFonts w:ascii="Open Sans" w:eastAsia="Open Sans" w:hAnsi="Open Sans" w:cs="Open Sans"/>
          <w:lang w:val="en-US"/>
        </w:rPr>
        <w:t>There will be places in the text where you are prompted to insert the organization's name or other information. In these cases, it will be marked as follows: [insert organization's name].</w:t>
      </w:r>
    </w:p>
    <w:p w14:paraId="19CD3D3F" w14:textId="77777777" w:rsidR="00F46502" w:rsidRPr="002F33F1" w:rsidRDefault="00F46502" w:rsidP="00D83408">
      <w:pPr>
        <w:rPr>
          <w:rFonts w:ascii="Open Sans" w:eastAsia="Open Sans" w:hAnsi="Open Sans" w:cs="Open Sans"/>
          <w:lang w:val="en-US"/>
        </w:rPr>
      </w:pPr>
    </w:p>
    <w:tbl>
      <w:tblPr>
        <w:tblStyle w:val="a0"/>
        <w:tblW w:w="88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820"/>
      </w:tblGrid>
      <w:tr w:rsidR="00F46502" w:rsidRPr="002F33F1" w14:paraId="2A4D7803" w14:textId="77777777" w:rsidTr="00110CF4">
        <w:trPr>
          <w:trHeight w:val="944"/>
          <w:jc w:val="center"/>
        </w:trPr>
        <w:tc>
          <w:tcPr>
            <w:tcW w:w="8820"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1ED9F30A" w14:textId="1E08DCF0" w:rsidR="00F46502" w:rsidRPr="002F33F1" w:rsidRDefault="00F46502" w:rsidP="00F46502">
            <w:pPr>
              <w:rPr>
                <w:rFonts w:ascii="Open Sans" w:eastAsia="Open Sans" w:hAnsi="Open Sans" w:cs="Open Sans"/>
                <w:lang w:val="en-US"/>
              </w:rPr>
            </w:pPr>
            <w:r w:rsidRPr="002F33F1">
              <w:rPr>
                <w:rFonts w:ascii="Open Sans" w:eastAsia="Open Sans" w:hAnsi="Open Sans" w:cs="Open Sans"/>
                <w:lang w:val="en-US"/>
              </w:rPr>
              <w:t>The text boxes in the document contain focus points and good advice for you as a data controller or data processor. Please note that the text boxes should be removed from the final version of the specific policy or procedure.</w:t>
            </w:r>
          </w:p>
        </w:tc>
      </w:tr>
    </w:tbl>
    <w:p w14:paraId="34D59170" w14:textId="77777777" w:rsidR="00D83408" w:rsidRPr="002F33F1" w:rsidRDefault="00D83408" w:rsidP="00D83408">
      <w:pPr>
        <w:rPr>
          <w:rFonts w:ascii="Open Sans" w:eastAsia="Open Sans" w:hAnsi="Open Sans" w:cs="Open Sans"/>
          <w:lang w:val="en-US"/>
        </w:rPr>
      </w:pPr>
    </w:p>
    <w:p w14:paraId="15C541C7" w14:textId="231D4465" w:rsidR="00D83408" w:rsidRPr="002F33F1" w:rsidRDefault="00D83408" w:rsidP="00D83408">
      <w:pPr>
        <w:rPr>
          <w:rFonts w:ascii="Open Sans" w:eastAsia="Open Sans" w:hAnsi="Open Sans" w:cs="Open Sans"/>
          <w:lang w:val="en-US"/>
        </w:rPr>
      </w:pPr>
      <w:r w:rsidRPr="002F33F1">
        <w:rPr>
          <w:rFonts w:ascii="Open Sans" w:eastAsia="Open Sans" w:hAnsi="Open Sans" w:cs="Open Sans"/>
          <w:lang w:val="en-US"/>
        </w:rPr>
        <w:t>At the bottom of each document, there will be a table that provides an overview of the document's version, the latest update, and who is responsible for the document.</w:t>
      </w:r>
    </w:p>
    <w:p w14:paraId="4B792624" w14:textId="77777777" w:rsidR="00D83408" w:rsidRPr="002F33F1" w:rsidRDefault="00000000" w:rsidP="00D83408">
      <w:pPr>
        <w:rPr>
          <w:rFonts w:ascii="Open Sans" w:eastAsia="Open Sans" w:hAnsi="Open Sans" w:cs="Open Sans"/>
          <w:lang w:val="da-DK"/>
        </w:rPr>
      </w:pPr>
      <w:r w:rsidRPr="002F33F1">
        <w:rPr>
          <w:rFonts w:ascii="Open Sans" w:eastAsia="Open Sans" w:hAnsi="Open Sans" w:cs="Open Sans"/>
          <w:lang w:val="da-DK"/>
        </w:rPr>
        <w:pict w14:anchorId="3A9FE89D">
          <v:rect id="_x0000_i1025" style="width:0;height:1.5pt" o:hralign="center" o:hrstd="t" o:hrnoshade="t" o:hr="t" fillcolor="#1f1f1f" stroked="f"/>
        </w:pict>
      </w:r>
    </w:p>
    <w:p w14:paraId="01B90B6C" w14:textId="77777777" w:rsidR="00D83408" w:rsidRPr="002F33F1" w:rsidRDefault="00D83408" w:rsidP="00D83408">
      <w:pPr>
        <w:rPr>
          <w:rFonts w:ascii="Open Sans" w:eastAsia="Open Sans" w:hAnsi="Open Sans" w:cs="Open Sans"/>
          <w:lang w:val="en-US"/>
        </w:rPr>
      </w:pPr>
      <w:r w:rsidRPr="002F33F1">
        <w:rPr>
          <w:rFonts w:ascii="Open Sans" w:eastAsia="Open Sans" w:hAnsi="Open Sans" w:cs="Open Sans"/>
          <w:lang w:val="en-US"/>
        </w:rPr>
        <w:t>Here are some additional tips for using Wired Relations' templates:</w:t>
      </w:r>
    </w:p>
    <w:p w14:paraId="32F7E7A1" w14:textId="77777777" w:rsidR="00D83408" w:rsidRPr="002F33F1" w:rsidRDefault="00D83408" w:rsidP="00D83408">
      <w:pPr>
        <w:numPr>
          <w:ilvl w:val="0"/>
          <w:numId w:val="9"/>
        </w:numPr>
        <w:rPr>
          <w:rFonts w:ascii="Open Sans" w:eastAsia="Open Sans" w:hAnsi="Open Sans" w:cs="Open Sans"/>
          <w:lang w:val="en-US"/>
        </w:rPr>
      </w:pPr>
      <w:r w:rsidRPr="002F33F1">
        <w:rPr>
          <w:rFonts w:ascii="Open Sans" w:eastAsia="Open Sans" w:hAnsi="Open Sans" w:cs="Open Sans"/>
          <w:lang w:val="en-US"/>
        </w:rPr>
        <w:t>Read the instructions carefully before you start using the templates. This will help you understand how to use them effectively.</w:t>
      </w:r>
    </w:p>
    <w:p w14:paraId="6B7DEA93" w14:textId="77777777" w:rsidR="00D83408" w:rsidRPr="002F33F1" w:rsidRDefault="00D83408" w:rsidP="00D83408">
      <w:pPr>
        <w:numPr>
          <w:ilvl w:val="0"/>
          <w:numId w:val="9"/>
        </w:numPr>
        <w:rPr>
          <w:rFonts w:ascii="Open Sans" w:eastAsia="Open Sans" w:hAnsi="Open Sans" w:cs="Open Sans"/>
          <w:lang w:val="en-US"/>
        </w:rPr>
      </w:pPr>
      <w:r w:rsidRPr="002F33F1">
        <w:rPr>
          <w:rFonts w:ascii="Open Sans" w:eastAsia="Open Sans" w:hAnsi="Open Sans" w:cs="Open Sans"/>
          <w:lang w:val="en-US"/>
        </w:rPr>
        <w:t>Customize the templates to fit your organization's needs. You can add or remove sections, change the wording, and add your own logo and branding.</w:t>
      </w:r>
    </w:p>
    <w:p w14:paraId="589CE723" w14:textId="77777777" w:rsidR="00D83408" w:rsidRPr="002F33F1" w:rsidRDefault="00D83408" w:rsidP="00D83408">
      <w:pPr>
        <w:numPr>
          <w:ilvl w:val="0"/>
          <w:numId w:val="9"/>
        </w:numPr>
        <w:rPr>
          <w:rFonts w:ascii="Open Sans" w:eastAsia="Open Sans" w:hAnsi="Open Sans" w:cs="Open Sans"/>
          <w:lang w:val="en-US"/>
        </w:rPr>
      </w:pPr>
      <w:r w:rsidRPr="002F33F1">
        <w:rPr>
          <w:rFonts w:ascii="Open Sans" w:eastAsia="Open Sans" w:hAnsi="Open Sans" w:cs="Open Sans"/>
          <w:lang w:val="en-US"/>
        </w:rPr>
        <w:t>Keep your templates up to date. Data protection and information security regulations are constantly changing, so it's important to make sure your templates are always up to date.</w:t>
      </w:r>
    </w:p>
    <w:p w14:paraId="645A20BD" w14:textId="77777777" w:rsidR="00D83408" w:rsidRPr="002F33F1" w:rsidRDefault="00000000" w:rsidP="00D83408">
      <w:pPr>
        <w:rPr>
          <w:rFonts w:ascii="Open Sans" w:eastAsia="Open Sans" w:hAnsi="Open Sans" w:cs="Open Sans"/>
          <w:lang w:val="da-DK"/>
        </w:rPr>
      </w:pPr>
      <w:r w:rsidRPr="002F33F1">
        <w:rPr>
          <w:rFonts w:ascii="Open Sans" w:eastAsia="Open Sans" w:hAnsi="Open Sans" w:cs="Open Sans"/>
          <w:lang w:val="da-DK"/>
        </w:rPr>
        <w:pict w14:anchorId="23ABB17E">
          <v:rect id="_x0000_i1026" style="width:0;height:1.5pt" o:hralign="center" o:hrstd="t" o:hrnoshade="t" o:hr="t" fillcolor="#1f1f1f" stroked="f"/>
        </w:pict>
      </w:r>
    </w:p>
    <w:p w14:paraId="70A6D03E" w14:textId="77777777" w:rsidR="00D83408" w:rsidRPr="002F33F1" w:rsidRDefault="00D83408" w:rsidP="00D83408">
      <w:pPr>
        <w:rPr>
          <w:rFonts w:ascii="Open Sans" w:eastAsia="Open Sans" w:hAnsi="Open Sans" w:cs="Open Sans"/>
          <w:lang w:val="en-US"/>
        </w:rPr>
      </w:pPr>
      <w:r w:rsidRPr="002F33F1">
        <w:rPr>
          <w:rFonts w:ascii="Open Sans" w:eastAsia="Open Sans" w:hAnsi="Open Sans" w:cs="Open Sans"/>
          <w:lang w:val="en-US"/>
        </w:rPr>
        <w:t>We hope you find Wired Relations' templates helpful. If you have any questions, please don't hesitate to contact us.</w:t>
      </w:r>
    </w:p>
    <w:p w14:paraId="209FA352" w14:textId="77777777" w:rsidR="00914AD2" w:rsidRPr="008C26FC" w:rsidRDefault="00914AD2">
      <w:pPr>
        <w:rPr>
          <w:rFonts w:ascii="Open Sans" w:eastAsia="Open Sans" w:hAnsi="Open Sans" w:cs="Open Sans"/>
          <w:b/>
          <w:sz w:val="26"/>
          <w:szCs w:val="26"/>
          <w:lang w:val="en-US"/>
        </w:rPr>
      </w:pPr>
    </w:p>
    <w:p w14:paraId="2E249A1F" w14:textId="26130CD3" w:rsidR="00384BAA" w:rsidRPr="00384BAA" w:rsidRDefault="00384BAA" w:rsidP="00384BAA">
      <w:pPr>
        <w:rPr>
          <w:rFonts w:ascii="Open Sans" w:hAnsi="Open Sans" w:cs="Open Sans"/>
          <w:b/>
          <w:bCs/>
          <w:sz w:val="26"/>
          <w:szCs w:val="26"/>
          <w:lang w:val="en-US"/>
        </w:rPr>
      </w:pPr>
      <w:r w:rsidRPr="00384BAA">
        <w:rPr>
          <w:rFonts w:ascii="Open Sans" w:eastAsia="Times New Roman" w:hAnsi="Open Sans" w:cs="Open Sans"/>
          <w:b/>
          <w:bCs/>
          <w:sz w:val="26"/>
          <w:szCs w:val="26"/>
          <w:lang w:val="en-US"/>
        </w:rPr>
        <w:t>Procedure for handling personal data breach</w:t>
      </w:r>
    </w:p>
    <w:p w14:paraId="4D39700D" w14:textId="77777777" w:rsidR="00384BAA" w:rsidRDefault="00384BAA" w:rsidP="00384BAA">
      <w:pPr>
        <w:pStyle w:val="NormalWeb"/>
        <w:rPr>
          <w:rFonts w:ascii="Open Sans" w:hAnsi="Open Sans" w:cs="Open Sans"/>
          <w:lang w:val="en-US"/>
        </w:rPr>
      </w:pPr>
      <w:r w:rsidRPr="00384BAA">
        <w:rPr>
          <w:rFonts w:ascii="Open Sans" w:hAnsi="Open Sans" w:cs="Open Sans"/>
          <w:lang w:val="en-US"/>
        </w:rPr>
        <w:t>This procedure is designed as a checklist of the various steps that need to be taken in connection with a personal data breach.</w:t>
      </w:r>
    </w:p>
    <w:p w14:paraId="205E340C" w14:textId="77777777" w:rsidR="00384BAA" w:rsidRPr="00384BAA" w:rsidRDefault="00384BAA" w:rsidP="00384BAA">
      <w:pPr>
        <w:pStyle w:val="NormalWeb"/>
        <w:rPr>
          <w:rFonts w:ascii="Open Sans" w:hAnsi="Open Sans" w:cs="Open Sans"/>
          <w:lang w:val="en-US"/>
        </w:rPr>
      </w:pPr>
    </w:p>
    <w:p w14:paraId="2F8C85EE" w14:textId="77777777"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When a personal data breach has been identified, you must:</w:t>
      </w:r>
    </w:p>
    <w:p w14:paraId="3CFAC1D2" w14:textId="1AE13E19" w:rsidR="00384BAA" w:rsidRPr="002F33F1" w:rsidRDefault="00384BAA" w:rsidP="00384BAA">
      <w:pPr>
        <w:pStyle w:val="NormalWeb"/>
        <w:rPr>
          <w:rFonts w:ascii="Open Sans" w:hAnsi="Open Sans" w:cs="Open Sans"/>
          <w:lang w:val="en-US"/>
        </w:rPr>
      </w:pPr>
      <w:r w:rsidRPr="002F33F1">
        <w:rPr>
          <w:rFonts w:ascii="Open Sans" w:hAnsi="Open Sans" w:cs="Open Sans"/>
          <w:b/>
          <w:bCs/>
          <w:lang w:val="en-US"/>
        </w:rPr>
        <w:t>1. Get an overview</w:t>
      </w:r>
    </w:p>
    <w:p w14:paraId="7AEA5E44" w14:textId="72AE99CD"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Make sure to identify and describe what is currently possible. This will help you with the next steps in the process.</w:t>
      </w:r>
    </w:p>
    <w:p w14:paraId="0C2F53C3" w14:textId="674E16F9" w:rsidR="00384BAA" w:rsidRPr="00384BAA" w:rsidRDefault="00384BAA" w:rsidP="00384BAA">
      <w:pPr>
        <w:pStyle w:val="NormalWeb"/>
        <w:rPr>
          <w:rFonts w:ascii="Open Sans" w:hAnsi="Open Sans" w:cs="Open Sans"/>
          <w:lang w:val="en-US"/>
        </w:rPr>
      </w:pPr>
      <w:r w:rsidRPr="00384BAA">
        <w:rPr>
          <w:rFonts w:ascii="Open Sans" w:hAnsi="Open Sans" w:cs="Open Sans"/>
          <w:b/>
          <w:bCs/>
          <w:lang w:val="en-US"/>
        </w:rPr>
        <w:t>2. Stop the accident</w:t>
      </w:r>
    </w:p>
    <w:p w14:paraId="0EAD1977" w14:textId="7C5F1B48"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 xml:space="preserve">If it is an ongoing personal data breach, it is very important to stop it </w:t>
      </w:r>
      <w:r>
        <w:rPr>
          <w:rFonts w:ascii="Open Sans" w:hAnsi="Open Sans" w:cs="Open Sans"/>
          <w:lang w:val="en-US"/>
        </w:rPr>
        <w:t>to</w:t>
      </w:r>
      <w:r w:rsidRPr="00384BAA">
        <w:rPr>
          <w:rFonts w:ascii="Open Sans" w:hAnsi="Open Sans" w:cs="Open Sans"/>
          <w:lang w:val="en-US"/>
        </w:rPr>
        <w:t xml:space="preserve"> minimize any consequences for the data subject. At the same time, it is important that the actual circumstances are documented continuously, as important information may otherwise be lost.</w:t>
      </w:r>
    </w:p>
    <w:p w14:paraId="21B6917F" w14:textId="59117522" w:rsidR="00384BAA" w:rsidRPr="00384BAA" w:rsidRDefault="00384BAA" w:rsidP="00384BAA">
      <w:pPr>
        <w:pStyle w:val="NormalWeb"/>
        <w:rPr>
          <w:rFonts w:ascii="Open Sans" w:hAnsi="Open Sans" w:cs="Open Sans"/>
          <w:lang w:val="en-US"/>
        </w:rPr>
      </w:pPr>
      <w:r>
        <w:rPr>
          <w:rFonts w:ascii="Open Sans" w:hAnsi="Open Sans" w:cs="Open Sans"/>
          <w:b/>
          <w:bCs/>
          <w:lang w:val="en-US"/>
        </w:rPr>
        <w:t xml:space="preserve">3. </w:t>
      </w:r>
      <w:r w:rsidRPr="00384BAA">
        <w:rPr>
          <w:rFonts w:ascii="Open Sans" w:hAnsi="Open Sans" w:cs="Open Sans"/>
          <w:b/>
          <w:bCs/>
          <w:lang w:val="en-US"/>
        </w:rPr>
        <w:t xml:space="preserve">Assess whether the personal data breach should be reported to the </w:t>
      </w:r>
      <w:r w:rsidR="00225B49" w:rsidRPr="00225B49">
        <w:rPr>
          <w:rFonts w:ascii="Open Sans" w:hAnsi="Open Sans" w:cs="Open Sans"/>
          <w:b/>
          <w:bCs/>
          <w:lang w:val="en-US"/>
        </w:rPr>
        <w:t>relevant supervisory authority</w:t>
      </w:r>
    </w:p>
    <w:p w14:paraId="73F86F81" w14:textId="1317A3C3" w:rsidR="00384BAA" w:rsidRPr="00384BAA" w:rsidRDefault="00F46502" w:rsidP="00384BAA">
      <w:pPr>
        <w:pStyle w:val="NormalWeb"/>
        <w:rPr>
          <w:rFonts w:ascii="Open Sans" w:hAnsi="Open Sans" w:cs="Open Sans"/>
          <w:lang w:val="en-US"/>
        </w:rPr>
      </w:pPr>
      <w:r w:rsidRPr="00384BAA">
        <w:rPr>
          <w:rFonts w:ascii="Open Sans" w:hAnsi="Open Sans" w:cs="Open Sans"/>
          <w:lang w:val="en-US"/>
        </w:rPr>
        <w:t>As a rule</w:t>
      </w:r>
      <w:r w:rsidR="00384BAA" w:rsidRPr="00384BAA">
        <w:rPr>
          <w:rFonts w:ascii="Open Sans" w:hAnsi="Open Sans" w:cs="Open Sans"/>
          <w:lang w:val="en-US"/>
        </w:rPr>
        <w:t xml:space="preserve">, all personal data breaches must be reported to the </w:t>
      </w:r>
      <w:r w:rsidR="00225B49" w:rsidRPr="00225B49">
        <w:rPr>
          <w:rFonts w:ascii="Open Sans" w:hAnsi="Open Sans" w:cs="Open Sans"/>
          <w:lang w:val="en-US"/>
        </w:rPr>
        <w:t xml:space="preserve">relevant supervisory authority </w:t>
      </w:r>
      <w:r w:rsidR="00384BAA" w:rsidRPr="00384BAA">
        <w:rPr>
          <w:rFonts w:ascii="Open Sans" w:hAnsi="Open Sans" w:cs="Open Sans"/>
          <w:lang w:val="en-US"/>
        </w:rPr>
        <w:t>within 72 hours</w:t>
      </w:r>
      <w:r w:rsidRPr="00F46502">
        <w:rPr>
          <w:rFonts w:ascii="Arial" w:eastAsia="Arial" w:hAnsi="Arial" w:cs="Arial"/>
          <w:sz w:val="22"/>
          <w:szCs w:val="22"/>
          <w:lang w:val="en-US"/>
        </w:rPr>
        <w:t xml:space="preserve"> </w:t>
      </w:r>
      <w:r w:rsidRPr="00F46502">
        <w:rPr>
          <w:rFonts w:ascii="Open Sans" w:hAnsi="Open Sans" w:cs="Open Sans"/>
          <w:lang w:val="en-US"/>
        </w:rPr>
        <w:t>unless the personal data breach is unlikely to result in a risk to the rights and freedoms of natural persons</w:t>
      </w:r>
      <w:r w:rsidR="00384BAA" w:rsidRPr="00384BAA">
        <w:rPr>
          <w:rFonts w:ascii="Open Sans" w:hAnsi="Open Sans" w:cs="Open Sans"/>
          <w:lang w:val="en-US"/>
        </w:rPr>
        <w:t xml:space="preserve">. </w:t>
      </w:r>
    </w:p>
    <w:p w14:paraId="1CDA94D0" w14:textId="5009AFC7"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 xml:space="preserve">The assessment of whether there is a risk to the rights </w:t>
      </w:r>
      <w:r w:rsidR="00F46502">
        <w:rPr>
          <w:rFonts w:ascii="Open Sans" w:hAnsi="Open Sans" w:cs="Open Sans"/>
          <w:lang w:val="en-US"/>
        </w:rPr>
        <w:t>and</w:t>
      </w:r>
      <w:r w:rsidRPr="00384BAA">
        <w:rPr>
          <w:rFonts w:ascii="Open Sans" w:hAnsi="Open Sans" w:cs="Open Sans"/>
          <w:lang w:val="en-US"/>
        </w:rPr>
        <w:t xml:space="preserve"> freedoms of the data subject must be based on:</w:t>
      </w:r>
    </w:p>
    <w:p w14:paraId="088BA73D" w14:textId="638B8EAA" w:rsidR="00384BAA" w:rsidRPr="00384BAA" w:rsidRDefault="00384BAA" w:rsidP="00384BAA">
      <w:pPr>
        <w:pStyle w:val="NormalWeb"/>
        <w:numPr>
          <w:ilvl w:val="0"/>
          <w:numId w:val="19"/>
        </w:numPr>
        <w:rPr>
          <w:rFonts w:ascii="Open Sans" w:hAnsi="Open Sans" w:cs="Open Sans"/>
          <w:lang w:val="en-US"/>
        </w:rPr>
      </w:pPr>
      <w:r w:rsidRPr="00384BAA">
        <w:rPr>
          <w:rFonts w:ascii="Open Sans" w:hAnsi="Open Sans" w:cs="Open Sans"/>
          <w:lang w:val="en-US"/>
        </w:rPr>
        <w:t xml:space="preserve">The type of security breach, including whether there has been a loss of data, a breach of confidentiality or an integrity </w:t>
      </w:r>
      <w:r w:rsidR="00F46502" w:rsidRPr="00384BAA">
        <w:rPr>
          <w:rFonts w:ascii="Open Sans" w:hAnsi="Open Sans" w:cs="Open Sans"/>
          <w:lang w:val="en-US"/>
        </w:rPr>
        <w:t>violation.</w:t>
      </w:r>
    </w:p>
    <w:p w14:paraId="709B810F" w14:textId="08B33AC8" w:rsidR="00384BAA" w:rsidRPr="00384BAA" w:rsidRDefault="00384BAA" w:rsidP="00384BAA">
      <w:pPr>
        <w:pStyle w:val="NormalWeb"/>
        <w:numPr>
          <w:ilvl w:val="0"/>
          <w:numId w:val="19"/>
        </w:numPr>
        <w:rPr>
          <w:rFonts w:ascii="Open Sans" w:hAnsi="Open Sans" w:cs="Open Sans"/>
          <w:lang w:val="en-US"/>
        </w:rPr>
      </w:pPr>
      <w:r w:rsidRPr="00384BAA">
        <w:rPr>
          <w:rFonts w:ascii="Open Sans" w:hAnsi="Open Sans" w:cs="Open Sans"/>
          <w:lang w:val="en-US"/>
        </w:rPr>
        <w:t>The nature and extent of the information</w:t>
      </w:r>
      <w:r w:rsidR="00F46502">
        <w:rPr>
          <w:rFonts w:ascii="Open Sans" w:hAnsi="Open Sans" w:cs="Open Sans"/>
          <w:lang w:val="en-US"/>
        </w:rPr>
        <w:t>.</w:t>
      </w:r>
    </w:p>
    <w:p w14:paraId="18B31B9B" w14:textId="5B167C81" w:rsidR="00384BAA" w:rsidRPr="00384BAA" w:rsidRDefault="00384BAA" w:rsidP="00384BAA">
      <w:pPr>
        <w:pStyle w:val="NormalWeb"/>
        <w:numPr>
          <w:ilvl w:val="0"/>
          <w:numId w:val="19"/>
        </w:numPr>
        <w:rPr>
          <w:rFonts w:ascii="Open Sans" w:hAnsi="Open Sans" w:cs="Open Sans"/>
          <w:lang w:val="en-US"/>
        </w:rPr>
      </w:pPr>
      <w:r w:rsidRPr="00384BAA">
        <w:rPr>
          <w:rFonts w:ascii="Open Sans" w:hAnsi="Open Sans" w:cs="Open Sans"/>
          <w:lang w:val="en-US"/>
        </w:rPr>
        <w:t xml:space="preserve">The risk of the data subject(s) being </w:t>
      </w:r>
      <w:r w:rsidR="00F46502" w:rsidRPr="00384BAA">
        <w:rPr>
          <w:rFonts w:ascii="Open Sans" w:hAnsi="Open Sans" w:cs="Open Sans"/>
          <w:lang w:val="en-US"/>
        </w:rPr>
        <w:t>identified.</w:t>
      </w:r>
    </w:p>
    <w:p w14:paraId="2A36C63A" w14:textId="5EE2BCEE" w:rsidR="00384BAA" w:rsidRPr="00384BAA" w:rsidRDefault="00384BAA" w:rsidP="00384BAA">
      <w:pPr>
        <w:pStyle w:val="NormalWeb"/>
        <w:numPr>
          <w:ilvl w:val="0"/>
          <w:numId w:val="19"/>
        </w:numPr>
        <w:rPr>
          <w:rFonts w:ascii="Open Sans" w:hAnsi="Open Sans" w:cs="Open Sans"/>
          <w:lang w:val="en-US"/>
        </w:rPr>
      </w:pPr>
      <w:r w:rsidRPr="00384BAA">
        <w:rPr>
          <w:rFonts w:ascii="Open Sans" w:hAnsi="Open Sans" w:cs="Open Sans"/>
          <w:lang w:val="en-US"/>
        </w:rPr>
        <w:t>The consequences the breach may have for the data subjects</w:t>
      </w:r>
      <w:r w:rsidR="00F46502">
        <w:rPr>
          <w:rFonts w:ascii="Open Sans" w:hAnsi="Open Sans" w:cs="Open Sans"/>
          <w:lang w:val="en-US"/>
        </w:rPr>
        <w:t>.</w:t>
      </w:r>
    </w:p>
    <w:p w14:paraId="125F6C66" w14:textId="3B76F218" w:rsidR="00384BAA" w:rsidRPr="00384BAA" w:rsidRDefault="00384BAA" w:rsidP="00384BAA">
      <w:pPr>
        <w:pStyle w:val="NormalWeb"/>
        <w:numPr>
          <w:ilvl w:val="0"/>
          <w:numId w:val="19"/>
        </w:numPr>
        <w:rPr>
          <w:rFonts w:ascii="Open Sans" w:hAnsi="Open Sans" w:cs="Open Sans"/>
          <w:lang w:val="en-US"/>
        </w:rPr>
      </w:pPr>
      <w:r w:rsidRPr="00384BAA">
        <w:rPr>
          <w:rFonts w:ascii="Open Sans" w:hAnsi="Open Sans" w:cs="Open Sans"/>
          <w:lang w:val="en-US"/>
        </w:rPr>
        <w:t>Whether the breach involves special data subjects (e.g. children or particularly vulnerable persons)</w:t>
      </w:r>
      <w:r w:rsidR="00F46502">
        <w:rPr>
          <w:rFonts w:ascii="Open Sans" w:hAnsi="Open Sans" w:cs="Open Sans"/>
          <w:lang w:val="en-US"/>
        </w:rPr>
        <w:t>.</w:t>
      </w:r>
    </w:p>
    <w:p w14:paraId="71CE49E9" w14:textId="5D325151" w:rsidR="00384BAA" w:rsidRPr="00384BAA" w:rsidRDefault="00384BAA" w:rsidP="00384BAA">
      <w:pPr>
        <w:pStyle w:val="NormalWeb"/>
        <w:numPr>
          <w:ilvl w:val="0"/>
          <w:numId w:val="19"/>
        </w:numPr>
        <w:rPr>
          <w:rFonts w:ascii="Open Sans" w:hAnsi="Open Sans" w:cs="Open Sans"/>
          <w:lang w:val="en-US"/>
        </w:rPr>
      </w:pPr>
      <w:r w:rsidRPr="00384BAA">
        <w:rPr>
          <w:rFonts w:ascii="Open Sans" w:hAnsi="Open Sans" w:cs="Open Sans"/>
          <w:lang w:val="en-US"/>
        </w:rPr>
        <w:t>The number of data subjects affected</w:t>
      </w:r>
      <w:r w:rsidR="00F46502">
        <w:rPr>
          <w:rFonts w:ascii="Open Sans" w:hAnsi="Open Sans" w:cs="Open Sans"/>
          <w:lang w:val="en-US"/>
        </w:rPr>
        <w:t>.</w:t>
      </w:r>
    </w:p>
    <w:p w14:paraId="11F66D14" w14:textId="77777777" w:rsidR="00384BAA" w:rsidRPr="00384BAA" w:rsidRDefault="00384BAA" w:rsidP="00384BAA">
      <w:pPr>
        <w:pStyle w:val="NormalWeb"/>
        <w:rPr>
          <w:rFonts w:ascii="Open Sans" w:hAnsi="Open Sans" w:cs="Open Sans"/>
          <w:lang w:val="en-US"/>
        </w:rPr>
      </w:pPr>
      <w:r w:rsidRPr="00384BAA">
        <w:rPr>
          <w:rFonts w:ascii="Open Sans" w:hAnsi="Open Sans" w:cs="Open Sans"/>
          <w:lang w:val="en-US"/>
        </w:rPr>
        <w:lastRenderedPageBreak/>
        <w:t>It is crucial that the assessment is objective and impartial - and furthermore, all considerations and decisions in the process must be documented, see point 5 below.</w:t>
      </w:r>
    </w:p>
    <w:tbl>
      <w:tblPr>
        <w:tblStyle w:val="a1"/>
        <w:tblW w:w="9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29"/>
      </w:tblGrid>
      <w:tr w:rsidR="00F46502" w:rsidRPr="002F33F1" w14:paraId="16A22AF3" w14:textId="77777777" w:rsidTr="00110CF4">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3392826C" w14:textId="78602087" w:rsidR="00F46502" w:rsidRPr="00F46502" w:rsidRDefault="00F46502" w:rsidP="00110CF4">
            <w:pPr>
              <w:widowControl w:val="0"/>
              <w:pBdr>
                <w:top w:val="nil"/>
                <w:left w:val="nil"/>
                <w:bottom w:val="nil"/>
                <w:right w:val="nil"/>
                <w:between w:val="nil"/>
              </w:pBdr>
              <w:rPr>
                <w:rFonts w:ascii="Open Sans" w:eastAsia="Open Sans" w:hAnsi="Open Sans" w:cs="Open Sans"/>
                <w:lang w:val="en-US"/>
              </w:rPr>
            </w:pPr>
            <w:r w:rsidRPr="00F46502">
              <w:rPr>
                <w:rFonts w:ascii="Open Sans" w:eastAsia="Open Sans" w:hAnsi="Open Sans" w:cs="Open Sans"/>
                <w:lang w:val="en-US"/>
              </w:rPr>
              <w:t xml:space="preserve">If you have already carried out risk assessments (in relation to the data subject) in your organization, it will be obvious to look at these in this context, as they will typically express the risk to the data subject in relation to a system, </w:t>
            </w:r>
            <w:r w:rsidR="00F35F38" w:rsidRPr="00F46502">
              <w:rPr>
                <w:rFonts w:ascii="Open Sans" w:eastAsia="Open Sans" w:hAnsi="Open Sans" w:cs="Open Sans"/>
                <w:lang w:val="en-US"/>
              </w:rPr>
              <w:t>process,</w:t>
            </w:r>
            <w:r w:rsidRPr="00F46502">
              <w:rPr>
                <w:rFonts w:ascii="Open Sans" w:eastAsia="Open Sans" w:hAnsi="Open Sans" w:cs="Open Sans"/>
                <w:lang w:val="en-US"/>
              </w:rPr>
              <w:t xml:space="preserve"> or processing activity.</w:t>
            </w:r>
          </w:p>
        </w:tc>
      </w:tr>
    </w:tbl>
    <w:p w14:paraId="13F779E9" w14:textId="77777777" w:rsidR="00F35F38" w:rsidRDefault="00F35F38" w:rsidP="00F35F38">
      <w:pPr>
        <w:pStyle w:val="NormalWeb"/>
        <w:rPr>
          <w:rFonts w:ascii="Open Sans" w:hAnsi="Open Sans" w:cs="Open Sans"/>
          <w:lang w:val="en-US"/>
        </w:rPr>
      </w:pPr>
    </w:p>
    <w:p w14:paraId="20A5050B" w14:textId="182F4375" w:rsidR="00384BAA" w:rsidRPr="00384BAA" w:rsidRDefault="00F35F38" w:rsidP="00F35F38">
      <w:pPr>
        <w:pStyle w:val="NormalWeb"/>
        <w:rPr>
          <w:rFonts w:ascii="Open Sans" w:hAnsi="Open Sans" w:cs="Open Sans"/>
          <w:lang w:val="en-US"/>
        </w:rPr>
      </w:pPr>
      <w:r w:rsidRPr="00F35F38">
        <w:rPr>
          <w:rFonts w:ascii="Open Sans" w:hAnsi="Open Sans" w:cs="Open Sans"/>
          <w:b/>
          <w:bCs/>
          <w:lang w:val="en-US"/>
        </w:rPr>
        <w:t xml:space="preserve">4. </w:t>
      </w:r>
      <w:r w:rsidR="00384BAA" w:rsidRPr="00384BAA">
        <w:rPr>
          <w:rFonts w:ascii="Open Sans" w:hAnsi="Open Sans" w:cs="Open Sans"/>
          <w:b/>
          <w:bCs/>
          <w:lang w:val="en-US"/>
        </w:rPr>
        <w:t>Assess whether the data subject should be notified</w:t>
      </w:r>
    </w:p>
    <w:p w14:paraId="75BF2F1D" w14:textId="56E73E3D"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 xml:space="preserve">If a personal data breach is to be reported to the </w:t>
      </w:r>
      <w:r w:rsidR="00225B49" w:rsidRPr="00225B49">
        <w:rPr>
          <w:rFonts w:ascii="Open Sans" w:hAnsi="Open Sans" w:cs="Open Sans"/>
          <w:lang w:val="en-US"/>
        </w:rPr>
        <w:t>relevant supervisory authority</w:t>
      </w:r>
      <w:r w:rsidR="00225B49">
        <w:rPr>
          <w:rFonts w:ascii="Open Sans" w:hAnsi="Open Sans" w:cs="Open Sans"/>
          <w:lang w:val="en-US"/>
        </w:rPr>
        <w:t>,</w:t>
      </w:r>
      <w:r w:rsidR="00225B49" w:rsidRPr="00225B49">
        <w:rPr>
          <w:rFonts w:ascii="Open Sans" w:hAnsi="Open Sans" w:cs="Open Sans"/>
          <w:lang w:val="en-US"/>
        </w:rPr>
        <w:t xml:space="preserve"> </w:t>
      </w:r>
      <w:r w:rsidR="00225B49" w:rsidRPr="00384BAA">
        <w:rPr>
          <w:rFonts w:ascii="Open Sans" w:hAnsi="Open Sans" w:cs="Open Sans"/>
          <w:lang w:val="en-US"/>
        </w:rPr>
        <w:t>it</w:t>
      </w:r>
      <w:r w:rsidRPr="00384BAA">
        <w:rPr>
          <w:rFonts w:ascii="Open Sans" w:hAnsi="Open Sans" w:cs="Open Sans"/>
          <w:lang w:val="en-US"/>
        </w:rPr>
        <w:t xml:space="preserve"> must also be assessed whether the data subject should be notified of the data breach.</w:t>
      </w:r>
    </w:p>
    <w:p w14:paraId="427F6D9C" w14:textId="77777777"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The data subject must be notified if the data breach is likely to result in a high risk to the rights and freedoms of the data subject. This gives the data subject the opportunity to take a number of precautions to mitigate any risks.</w:t>
      </w:r>
    </w:p>
    <w:p w14:paraId="2D9CE01A" w14:textId="77777777" w:rsidR="00384BAA" w:rsidRPr="00384BAA" w:rsidRDefault="00384BAA" w:rsidP="00384BAA">
      <w:pPr>
        <w:pStyle w:val="NormalWeb"/>
        <w:rPr>
          <w:rFonts w:ascii="Open Sans" w:hAnsi="Open Sans" w:cs="Open Sans"/>
          <w:u w:val="single"/>
          <w:lang w:val="en-US"/>
        </w:rPr>
      </w:pPr>
      <w:r w:rsidRPr="00384BAA">
        <w:rPr>
          <w:rFonts w:ascii="Open Sans" w:hAnsi="Open Sans" w:cs="Open Sans"/>
          <w:u w:val="single"/>
          <w:lang w:val="en-US"/>
        </w:rPr>
        <w:t>4.1. High risk</w:t>
      </w:r>
    </w:p>
    <w:p w14:paraId="764E0488" w14:textId="77777777"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There is no fixed definition of what constitutes a high risk to the data subject, but the more serious the consequences of the data breach are assessed to be, and the more likely the consequence is to occur, the higher the risk to those affected must be assessed to be.</w:t>
      </w:r>
    </w:p>
    <w:p w14:paraId="2A10D35D" w14:textId="54314E70"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 xml:space="preserve">All possible consequences and negative effects, for the data subject, must be </w:t>
      </w:r>
      <w:r w:rsidR="00F35F38" w:rsidRPr="00384BAA">
        <w:rPr>
          <w:rFonts w:ascii="Open Sans" w:hAnsi="Open Sans" w:cs="Open Sans"/>
          <w:lang w:val="en-US"/>
        </w:rPr>
        <w:t>considered</w:t>
      </w:r>
      <w:r w:rsidRPr="00384BAA">
        <w:rPr>
          <w:rFonts w:ascii="Open Sans" w:hAnsi="Open Sans" w:cs="Open Sans"/>
          <w:lang w:val="en-US"/>
        </w:rPr>
        <w:t xml:space="preserve"> when assessing whether there is a high risk to the data subject.</w:t>
      </w:r>
    </w:p>
    <w:p w14:paraId="6289574C" w14:textId="77777777" w:rsidR="00384BAA" w:rsidRPr="00384BAA" w:rsidRDefault="00384BAA" w:rsidP="00384BAA">
      <w:pPr>
        <w:pStyle w:val="NormalWeb"/>
        <w:rPr>
          <w:rFonts w:ascii="Open Sans" w:hAnsi="Open Sans" w:cs="Open Sans"/>
          <w:u w:val="single"/>
          <w:lang w:val="en-US"/>
        </w:rPr>
      </w:pPr>
      <w:r w:rsidRPr="00384BAA">
        <w:rPr>
          <w:rFonts w:ascii="Open Sans" w:hAnsi="Open Sans" w:cs="Open Sans"/>
          <w:u w:val="single"/>
          <w:lang w:val="en-US"/>
        </w:rPr>
        <w:t>4.2. Who, when and how should the notification be made?</w:t>
      </w:r>
    </w:p>
    <w:p w14:paraId="49E6E782" w14:textId="77777777"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The data controller is responsible for notifying the data subject.</w:t>
      </w:r>
    </w:p>
    <w:p w14:paraId="3A4C4B75" w14:textId="77777777"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The data subject must be notified without undue delay after the personal data breach has been identified.</w:t>
      </w:r>
    </w:p>
    <w:p w14:paraId="1BF78A31" w14:textId="493FE6FD"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 xml:space="preserve">The notification must be made directly to the data subject, e.g. by letter, </w:t>
      </w:r>
      <w:r w:rsidR="00BD5933" w:rsidRPr="00384BAA">
        <w:rPr>
          <w:rFonts w:ascii="Open Sans" w:hAnsi="Open Sans" w:cs="Open Sans"/>
          <w:lang w:val="en-US"/>
        </w:rPr>
        <w:t>e-mail,</w:t>
      </w:r>
      <w:r w:rsidRPr="00384BAA">
        <w:rPr>
          <w:rFonts w:ascii="Open Sans" w:hAnsi="Open Sans" w:cs="Open Sans"/>
          <w:lang w:val="en-US"/>
        </w:rPr>
        <w:t xml:space="preserve"> or text message. A press release is</w:t>
      </w:r>
      <w:r w:rsidR="00BD5933">
        <w:rPr>
          <w:rFonts w:ascii="Open Sans" w:hAnsi="Open Sans" w:cs="Open Sans"/>
          <w:lang w:val="en-US"/>
        </w:rPr>
        <w:t xml:space="preserve"> </w:t>
      </w:r>
      <w:r w:rsidR="00BD5933" w:rsidRPr="00384BAA">
        <w:rPr>
          <w:rFonts w:ascii="Open Sans" w:hAnsi="Open Sans" w:cs="Open Sans"/>
          <w:lang w:val="en-US"/>
        </w:rPr>
        <w:t>for example</w:t>
      </w:r>
      <w:r w:rsidRPr="00384BAA">
        <w:rPr>
          <w:rFonts w:ascii="Open Sans" w:hAnsi="Open Sans" w:cs="Open Sans"/>
          <w:lang w:val="en-US"/>
        </w:rPr>
        <w:t xml:space="preserve"> not sufficient.</w:t>
      </w:r>
    </w:p>
    <w:tbl>
      <w:tblPr>
        <w:tblStyle w:val="a2"/>
        <w:tblW w:w="9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29"/>
      </w:tblGrid>
      <w:tr w:rsidR="00BD5933" w:rsidRPr="002F33F1" w14:paraId="49D64C67" w14:textId="77777777" w:rsidTr="00110CF4">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6E9E4BFE" w14:textId="7CAEECEA" w:rsidR="00BD5933" w:rsidRPr="00BD5933" w:rsidRDefault="00BD5933" w:rsidP="00110CF4">
            <w:pPr>
              <w:widowControl w:val="0"/>
              <w:pBdr>
                <w:top w:val="nil"/>
                <w:left w:val="nil"/>
                <w:bottom w:val="nil"/>
                <w:right w:val="nil"/>
                <w:between w:val="nil"/>
              </w:pBdr>
              <w:rPr>
                <w:rFonts w:ascii="Open Sans" w:eastAsia="Open Sans" w:hAnsi="Open Sans" w:cs="Open Sans"/>
                <w:lang w:val="en-US"/>
              </w:rPr>
            </w:pPr>
            <w:r w:rsidRPr="00384BAA">
              <w:rPr>
                <w:rFonts w:ascii="Open Sans" w:eastAsia="Open Sans" w:hAnsi="Open Sans" w:cs="Open Sans"/>
                <w:lang w:val="en-US"/>
              </w:rPr>
              <w:lastRenderedPageBreak/>
              <w:t>If you already have a template for notifying the data subject, you can link to it here.</w:t>
            </w:r>
          </w:p>
        </w:tc>
      </w:tr>
    </w:tbl>
    <w:p w14:paraId="1B0A62C1" w14:textId="77777777" w:rsidR="00384BAA" w:rsidRPr="00384BAA" w:rsidRDefault="00384BAA" w:rsidP="00384BAA">
      <w:pPr>
        <w:pStyle w:val="NormalWeb"/>
        <w:rPr>
          <w:rFonts w:ascii="Open Sans" w:hAnsi="Open Sans" w:cs="Open Sans"/>
          <w:u w:val="single"/>
          <w:lang w:val="en-US"/>
        </w:rPr>
      </w:pPr>
      <w:r w:rsidRPr="00384BAA">
        <w:rPr>
          <w:rFonts w:ascii="Open Sans" w:hAnsi="Open Sans" w:cs="Open Sans"/>
          <w:u w:val="single"/>
          <w:lang w:val="en-US"/>
        </w:rPr>
        <w:t>4.3. Exceptions to the notification requirement</w:t>
      </w:r>
    </w:p>
    <w:p w14:paraId="787B53AA" w14:textId="77777777"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There is no requirement for notification if:</w:t>
      </w:r>
    </w:p>
    <w:p w14:paraId="2E459187" w14:textId="77777777" w:rsidR="00384BAA" w:rsidRPr="00384BAA" w:rsidRDefault="00384BAA" w:rsidP="00384BAA">
      <w:pPr>
        <w:pStyle w:val="NormalWeb"/>
        <w:numPr>
          <w:ilvl w:val="0"/>
          <w:numId w:val="21"/>
        </w:numPr>
        <w:rPr>
          <w:rFonts w:ascii="Open Sans" w:hAnsi="Open Sans" w:cs="Open Sans"/>
          <w:lang w:val="en-US"/>
        </w:rPr>
      </w:pPr>
      <w:r w:rsidRPr="00384BAA">
        <w:rPr>
          <w:rFonts w:ascii="Open Sans" w:hAnsi="Open Sans" w:cs="Open Sans"/>
          <w:lang w:val="en-US"/>
        </w:rPr>
        <w:t>The data controller has implemented appropriate technical and organizational security measures that have been applied to the personal data concerned by the data breach, e.g. if the data is protected by encryption.</w:t>
      </w:r>
    </w:p>
    <w:p w14:paraId="3DECA9C1" w14:textId="77777777" w:rsidR="00384BAA" w:rsidRPr="00384BAA" w:rsidRDefault="00384BAA" w:rsidP="00384BAA">
      <w:pPr>
        <w:pStyle w:val="NormalWeb"/>
        <w:numPr>
          <w:ilvl w:val="0"/>
          <w:numId w:val="21"/>
        </w:numPr>
        <w:rPr>
          <w:rFonts w:ascii="Open Sans" w:hAnsi="Open Sans" w:cs="Open Sans"/>
          <w:lang w:val="en-US"/>
        </w:rPr>
      </w:pPr>
      <w:r w:rsidRPr="00384BAA">
        <w:rPr>
          <w:rFonts w:ascii="Open Sans" w:hAnsi="Open Sans" w:cs="Open Sans"/>
          <w:lang w:val="en-US"/>
        </w:rPr>
        <w:t>The high risk to the data subject is no longer real, e.g. in a case where there has been unauthorized access to personal data, but where it has been documented with certainty that no unauthorized persons have accessed the data.</w:t>
      </w:r>
    </w:p>
    <w:p w14:paraId="3B39366B" w14:textId="77777777" w:rsidR="00384BAA" w:rsidRPr="00384BAA" w:rsidRDefault="00384BAA" w:rsidP="00384BAA">
      <w:pPr>
        <w:pStyle w:val="NormalWeb"/>
        <w:numPr>
          <w:ilvl w:val="0"/>
          <w:numId w:val="21"/>
        </w:numPr>
        <w:rPr>
          <w:rFonts w:ascii="Open Sans" w:hAnsi="Open Sans" w:cs="Open Sans"/>
          <w:lang w:val="en-US"/>
        </w:rPr>
      </w:pPr>
      <w:r w:rsidRPr="00384BAA">
        <w:rPr>
          <w:rFonts w:ascii="Open Sans" w:hAnsi="Open Sans" w:cs="Open Sans"/>
          <w:lang w:val="en-US"/>
        </w:rPr>
        <w:t>The notification requires a disproportionate effort. This may be the case where, in connection with a data breach, the information about the data subjects who should be notified has been lost. In this case, a public notice or a similar measure must be issued.</w:t>
      </w:r>
    </w:p>
    <w:p w14:paraId="1CE97087" w14:textId="0DE37485" w:rsidR="00384BAA" w:rsidRPr="00384BAA" w:rsidRDefault="00BD5933" w:rsidP="00225B49">
      <w:pPr>
        <w:pStyle w:val="NormalWeb"/>
        <w:rPr>
          <w:rFonts w:ascii="Open Sans" w:hAnsi="Open Sans" w:cs="Open Sans"/>
          <w:lang w:val="en-US"/>
        </w:rPr>
      </w:pPr>
      <w:r w:rsidRPr="00BD5933">
        <w:rPr>
          <w:rFonts w:ascii="Open Sans" w:hAnsi="Open Sans" w:cs="Open Sans"/>
          <w:b/>
          <w:bCs/>
          <w:lang w:val="en-US"/>
        </w:rPr>
        <w:t xml:space="preserve">5. </w:t>
      </w:r>
      <w:r w:rsidR="00384BAA" w:rsidRPr="00384BAA">
        <w:rPr>
          <w:rFonts w:ascii="Open Sans" w:hAnsi="Open Sans" w:cs="Open Sans"/>
          <w:b/>
          <w:bCs/>
          <w:lang w:val="en-US"/>
        </w:rPr>
        <w:t>Remember the internal documentation</w:t>
      </w:r>
    </w:p>
    <w:p w14:paraId="428EB3B9" w14:textId="4B2F52AB" w:rsidR="00384BAA" w:rsidRPr="00384BAA" w:rsidRDefault="00384BAA" w:rsidP="00384BAA">
      <w:pPr>
        <w:pStyle w:val="NormalWeb"/>
        <w:rPr>
          <w:rFonts w:ascii="Open Sans" w:hAnsi="Open Sans" w:cs="Open Sans"/>
          <w:lang w:val="en-US"/>
        </w:rPr>
      </w:pPr>
      <w:r w:rsidRPr="00384BAA">
        <w:rPr>
          <w:rFonts w:ascii="Open Sans" w:hAnsi="Open Sans" w:cs="Open Sans"/>
          <w:lang w:val="en-US"/>
        </w:rPr>
        <w:t xml:space="preserve">Regardless of whether it has been assessed that a personal data breach should be reported to the </w:t>
      </w:r>
      <w:r w:rsidR="00BD5933">
        <w:rPr>
          <w:rFonts w:ascii="Open Sans" w:hAnsi="Open Sans" w:cs="Open Sans"/>
          <w:lang w:val="en-US"/>
        </w:rPr>
        <w:t xml:space="preserve">relevant </w:t>
      </w:r>
      <w:r w:rsidR="00225B49">
        <w:rPr>
          <w:rFonts w:ascii="Open Sans" w:hAnsi="Open Sans" w:cs="Open Sans"/>
          <w:lang w:val="en-US"/>
        </w:rPr>
        <w:t>s</w:t>
      </w:r>
      <w:r w:rsidR="00BD5933" w:rsidRPr="00BD5933">
        <w:rPr>
          <w:rFonts w:ascii="Open Sans" w:hAnsi="Open Sans" w:cs="Open Sans"/>
          <w:lang w:val="en-US"/>
        </w:rPr>
        <w:t xml:space="preserve">upervisory </w:t>
      </w:r>
      <w:r w:rsidR="00225B49">
        <w:rPr>
          <w:rFonts w:ascii="Open Sans" w:hAnsi="Open Sans" w:cs="Open Sans"/>
          <w:lang w:val="en-US"/>
        </w:rPr>
        <w:t>a</w:t>
      </w:r>
      <w:r w:rsidR="00BD5933" w:rsidRPr="00BD5933">
        <w:rPr>
          <w:rFonts w:ascii="Open Sans" w:hAnsi="Open Sans" w:cs="Open Sans"/>
          <w:lang w:val="en-US"/>
        </w:rPr>
        <w:t xml:space="preserve">uthority </w:t>
      </w:r>
      <w:r w:rsidRPr="00384BAA">
        <w:rPr>
          <w:rFonts w:ascii="Open Sans" w:hAnsi="Open Sans" w:cs="Open Sans"/>
          <w:lang w:val="en-US"/>
        </w:rPr>
        <w:t>or not, it must be documented, including the actual circumstances, key assessments in relation to the handling of the data breach, and actions taken.</w:t>
      </w:r>
    </w:p>
    <w:tbl>
      <w:tblPr>
        <w:tblStyle w:val="a3"/>
        <w:tblW w:w="9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29"/>
      </w:tblGrid>
      <w:tr w:rsidR="00225B49" w:rsidRPr="002F33F1" w14:paraId="0EB29539" w14:textId="77777777" w:rsidTr="00110CF4">
        <w:tc>
          <w:tcPr>
            <w:tcW w:w="9029" w:type="dxa"/>
            <w:tcBorders>
              <w:top w:val="single" w:sz="4" w:space="0" w:color="E5EFF1"/>
              <w:left w:val="single" w:sz="4" w:space="0" w:color="E5EFF1"/>
              <w:bottom w:val="single" w:sz="4" w:space="0" w:color="E5EFF1"/>
              <w:right w:val="single" w:sz="4" w:space="0" w:color="E5EFF1"/>
            </w:tcBorders>
            <w:shd w:val="clear" w:color="auto" w:fill="E5EFF1"/>
            <w:tcMar>
              <w:top w:w="226" w:type="dxa"/>
              <w:left w:w="226" w:type="dxa"/>
              <w:bottom w:w="226" w:type="dxa"/>
              <w:right w:w="226" w:type="dxa"/>
            </w:tcMar>
            <w:vAlign w:val="center"/>
          </w:tcPr>
          <w:p w14:paraId="744AFD5F" w14:textId="77777777" w:rsidR="00225B49" w:rsidRPr="00225B49" w:rsidRDefault="00225B49" w:rsidP="00225B49">
            <w:pPr>
              <w:widowControl w:val="0"/>
              <w:pBdr>
                <w:top w:val="nil"/>
                <w:left w:val="nil"/>
                <w:bottom w:val="nil"/>
                <w:right w:val="nil"/>
                <w:between w:val="nil"/>
              </w:pBdr>
              <w:rPr>
                <w:rFonts w:ascii="Open Sans" w:eastAsia="Open Sans" w:hAnsi="Open Sans" w:cs="Open Sans"/>
                <w:lang w:val="en-US"/>
              </w:rPr>
            </w:pPr>
            <w:r w:rsidRPr="00225B49">
              <w:rPr>
                <w:rFonts w:ascii="Open Sans" w:eastAsia="Open Sans" w:hAnsi="Open Sans" w:cs="Open Sans"/>
                <w:b/>
                <w:bCs/>
                <w:lang w:val="en-US"/>
              </w:rPr>
              <w:t>Information to [Insert relevant parties]</w:t>
            </w:r>
          </w:p>
          <w:p w14:paraId="3244A675" w14:textId="718D5B2B" w:rsidR="00225B49" w:rsidRPr="00225B49" w:rsidRDefault="00225B49" w:rsidP="00110CF4">
            <w:pPr>
              <w:widowControl w:val="0"/>
              <w:pBdr>
                <w:top w:val="nil"/>
                <w:left w:val="nil"/>
                <w:bottom w:val="nil"/>
                <w:right w:val="nil"/>
                <w:between w:val="nil"/>
              </w:pBdr>
              <w:rPr>
                <w:rFonts w:ascii="Open Sans" w:eastAsia="Open Sans" w:hAnsi="Open Sans" w:cs="Open Sans"/>
                <w:lang w:val="en-US"/>
              </w:rPr>
            </w:pPr>
            <w:r w:rsidRPr="00225B49">
              <w:rPr>
                <w:rFonts w:ascii="Open Sans" w:eastAsia="Open Sans" w:hAnsi="Open Sans" w:cs="Open Sans"/>
                <w:lang w:val="en-US"/>
              </w:rPr>
              <w:t>In some organizations, it may be relevant to make an orientation/reporting when a personal data breach has been identified or reported. This could be, for example, to the immediate manager, the management, the group management, or the ministry.</w:t>
            </w:r>
          </w:p>
        </w:tc>
      </w:tr>
    </w:tbl>
    <w:p w14:paraId="53FDA5BE" w14:textId="3A4C8670" w:rsidR="00225B49" w:rsidRPr="00225B49" w:rsidRDefault="00225B49" w:rsidP="00225B49">
      <w:pPr>
        <w:pStyle w:val="NormalWeb"/>
        <w:rPr>
          <w:rFonts w:ascii="Open Sans" w:hAnsi="Open Sans" w:cs="Open Sans"/>
          <w:lang w:val="en-US"/>
        </w:rPr>
      </w:pPr>
      <w:r w:rsidRPr="00225B49">
        <w:rPr>
          <w:rFonts w:ascii="Open Sans" w:hAnsi="Open Sans" w:cs="Open Sans"/>
          <w:b/>
          <w:bCs/>
          <w:lang w:val="en-US"/>
        </w:rPr>
        <w:t>6. Evaluat</w:t>
      </w:r>
      <w:r>
        <w:rPr>
          <w:rFonts w:ascii="Open Sans" w:hAnsi="Open Sans" w:cs="Open Sans"/>
          <w:b/>
          <w:bCs/>
          <w:lang w:val="en-US"/>
        </w:rPr>
        <w:t>ion</w:t>
      </w:r>
    </w:p>
    <w:p w14:paraId="44CC4E34" w14:textId="77777777" w:rsidR="00225B49" w:rsidRPr="00225B49" w:rsidRDefault="00225B49" w:rsidP="00225B49">
      <w:pPr>
        <w:pStyle w:val="NormalWeb"/>
        <w:rPr>
          <w:rFonts w:ascii="Open Sans" w:hAnsi="Open Sans" w:cs="Open Sans"/>
          <w:lang w:val="en-US"/>
        </w:rPr>
      </w:pPr>
      <w:r w:rsidRPr="00225B49">
        <w:rPr>
          <w:rFonts w:ascii="Open Sans" w:hAnsi="Open Sans" w:cs="Open Sans"/>
          <w:lang w:val="en-US"/>
        </w:rPr>
        <w:t>Any breach of personal data security should be followed up by an evaluation, where the following questions may be relevant:</w:t>
      </w:r>
    </w:p>
    <w:p w14:paraId="12707D7A" w14:textId="3B6CE976" w:rsidR="00225B49" w:rsidRPr="00225B49" w:rsidRDefault="00225B49" w:rsidP="00225B49">
      <w:pPr>
        <w:pStyle w:val="NormalWeb"/>
        <w:numPr>
          <w:ilvl w:val="0"/>
          <w:numId w:val="27"/>
        </w:numPr>
        <w:rPr>
          <w:rFonts w:ascii="Open Sans" w:hAnsi="Open Sans" w:cs="Open Sans"/>
          <w:lang w:val="en-US"/>
        </w:rPr>
      </w:pPr>
      <w:r w:rsidRPr="00225B49">
        <w:rPr>
          <w:rFonts w:ascii="Open Sans" w:hAnsi="Open Sans" w:cs="Open Sans"/>
          <w:lang w:val="en-US"/>
        </w:rPr>
        <w:t>Is this the first time this type of breach of personal data security has occurred, or is it a recurrence?</w:t>
      </w:r>
    </w:p>
    <w:p w14:paraId="1099A9FE" w14:textId="3A2CD4D3" w:rsidR="00225B49" w:rsidRPr="00225B49" w:rsidRDefault="00225B49" w:rsidP="00225B49">
      <w:pPr>
        <w:pStyle w:val="NormalWeb"/>
        <w:numPr>
          <w:ilvl w:val="0"/>
          <w:numId w:val="27"/>
        </w:numPr>
        <w:rPr>
          <w:rFonts w:ascii="Open Sans" w:hAnsi="Open Sans" w:cs="Open Sans"/>
          <w:lang w:val="en-US"/>
        </w:rPr>
      </w:pPr>
      <w:r w:rsidRPr="00225B49">
        <w:rPr>
          <w:rFonts w:ascii="Open Sans" w:hAnsi="Open Sans" w:cs="Open Sans"/>
          <w:lang w:val="en-US"/>
        </w:rPr>
        <w:lastRenderedPageBreak/>
        <w:t>If this is the first time this type of breach of personal data security has been detected, it may be beneficial to follow up with extra awareness in the individual process/department or together with the individual employee.</w:t>
      </w:r>
    </w:p>
    <w:p w14:paraId="557972F9" w14:textId="77777777" w:rsidR="00225B49" w:rsidRPr="00225B49" w:rsidRDefault="00225B49" w:rsidP="00225B49">
      <w:pPr>
        <w:pStyle w:val="NormalWeb"/>
        <w:numPr>
          <w:ilvl w:val="0"/>
          <w:numId w:val="27"/>
        </w:numPr>
        <w:rPr>
          <w:rFonts w:ascii="Open Sans" w:hAnsi="Open Sans" w:cs="Open Sans"/>
          <w:lang w:val="en-US"/>
        </w:rPr>
      </w:pPr>
      <w:r w:rsidRPr="00225B49">
        <w:rPr>
          <w:rFonts w:ascii="Open Sans" w:hAnsi="Open Sans" w:cs="Open Sans"/>
          <w:lang w:val="en-US"/>
        </w:rPr>
        <w:t>If it is a recurrence, the process should be reviewed to assess whether there should be further awareness measures or whether mitigating measures should be taken in the process.</w:t>
      </w:r>
    </w:p>
    <w:p w14:paraId="2F3C99EB" w14:textId="77777777" w:rsidR="00225B49" w:rsidRPr="00225B49" w:rsidRDefault="00225B49" w:rsidP="00225B49">
      <w:pPr>
        <w:pStyle w:val="NormalWeb"/>
        <w:rPr>
          <w:rFonts w:ascii="Open Sans" w:hAnsi="Open Sans" w:cs="Open Sans"/>
          <w:lang w:val="en-US"/>
        </w:rPr>
      </w:pPr>
      <w:r w:rsidRPr="00225B49">
        <w:rPr>
          <w:rFonts w:ascii="Open Sans" w:hAnsi="Open Sans" w:cs="Open Sans"/>
          <w:lang w:val="en-US"/>
        </w:rPr>
        <w:t>The evaluation should also be documented.</w:t>
      </w:r>
    </w:p>
    <w:p w14:paraId="5E4B6A68" w14:textId="77777777" w:rsidR="00225B49" w:rsidRPr="00225B49" w:rsidRDefault="00225B49" w:rsidP="00384BAA">
      <w:pPr>
        <w:pStyle w:val="NormalWeb"/>
        <w:rPr>
          <w:rFonts w:ascii="Open Sans" w:hAnsi="Open Sans" w:cs="Open Sans"/>
          <w:lang w:val="en-US"/>
        </w:rPr>
      </w:pPr>
    </w:p>
    <w:p w14:paraId="6BB028CC" w14:textId="77777777" w:rsidR="00CB0602" w:rsidRPr="00384BAA" w:rsidRDefault="00CB0602">
      <w:pPr>
        <w:rPr>
          <w:rFonts w:ascii="Open Sans" w:eastAsia="Open Sans" w:hAnsi="Open Sans" w:cs="Open Sans"/>
          <w:lang w:val="en-US"/>
        </w:rPr>
      </w:pPr>
    </w:p>
    <w:p w14:paraId="740EE6CD" w14:textId="77777777" w:rsidR="00914AD2" w:rsidRPr="00384BAA" w:rsidRDefault="00914AD2">
      <w:pPr>
        <w:rPr>
          <w:rFonts w:ascii="Open Sans" w:eastAsia="Open Sans" w:hAnsi="Open Sans" w:cs="Open Sans"/>
          <w:lang w:val="en-US"/>
        </w:rPr>
      </w:pPr>
    </w:p>
    <w:p w14:paraId="27629AE6" w14:textId="7E9D05F5" w:rsidR="00914AD2" w:rsidRPr="00CB0602" w:rsidRDefault="0059395E" w:rsidP="00CB0602">
      <w:pPr>
        <w:rPr>
          <w:rFonts w:ascii="Open Sans" w:eastAsia="Open Sans" w:hAnsi="Open Sans" w:cs="Open Sans"/>
        </w:rPr>
      </w:pPr>
      <w:bookmarkStart w:id="0" w:name="_xc6v748u9n7t" w:colFirst="0" w:colLast="0"/>
      <w:bookmarkStart w:id="1" w:name="_ws464f9h1dbf" w:colFirst="0" w:colLast="0"/>
      <w:bookmarkStart w:id="2" w:name="_2br3h7xhkb5d" w:colFirst="0" w:colLast="0"/>
      <w:bookmarkStart w:id="3" w:name="_uv2mbl37odn4" w:colFirst="0" w:colLast="0"/>
      <w:bookmarkStart w:id="4" w:name="_t1i5j5ykt8h0" w:colFirst="0" w:colLast="0"/>
      <w:bookmarkEnd w:id="0"/>
      <w:bookmarkEnd w:id="1"/>
      <w:bookmarkEnd w:id="2"/>
      <w:bookmarkEnd w:id="3"/>
      <w:bookmarkEnd w:id="4"/>
      <w:r w:rsidRPr="00CB0602">
        <w:rPr>
          <w:rFonts w:ascii="Open Sans" w:hAnsi="Open Sans" w:cs="Open Sans"/>
          <w:b/>
        </w:rPr>
        <w:t>Document Information</w:t>
      </w:r>
      <w:r w:rsidR="00291918" w:rsidRPr="00CB0602">
        <w:rPr>
          <w:rFonts w:ascii="Open Sans" w:hAnsi="Open Sans" w:cs="Open Sans"/>
          <w:b/>
        </w:rPr>
        <w:br/>
      </w: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4AD2" w:rsidRPr="00CB0602" w14:paraId="780A8E00" w14:textId="77777777">
        <w:tc>
          <w:tcPr>
            <w:tcW w:w="4514" w:type="dxa"/>
            <w:shd w:val="clear" w:color="auto" w:fill="auto"/>
            <w:tcMar>
              <w:top w:w="100" w:type="dxa"/>
              <w:left w:w="100" w:type="dxa"/>
              <w:bottom w:w="100" w:type="dxa"/>
              <w:right w:w="100" w:type="dxa"/>
            </w:tcMar>
          </w:tcPr>
          <w:p w14:paraId="0CDD40C6" w14:textId="42D5EC2E" w:rsidR="00914AD2" w:rsidRPr="00CB0602" w:rsidRDefault="0059395E">
            <w:pPr>
              <w:widowControl w:val="0"/>
              <w:spacing w:line="240" w:lineRule="auto"/>
              <w:rPr>
                <w:rFonts w:ascii="Open Sans" w:hAnsi="Open Sans" w:cs="Open Sans"/>
                <w:color w:val="434343"/>
              </w:rPr>
            </w:pPr>
            <w:r w:rsidRPr="00CB0602">
              <w:rPr>
                <w:rFonts w:ascii="Open Sans" w:hAnsi="Open Sans" w:cs="Open Sans"/>
                <w:color w:val="434343"/>
              </w:rPr>
              <w:t>Document Version</w:t>
            </w:r>
          </w:p>
        </w:tc>
        <w:tc>
          <w:tcPr>
            <w:tcW w:w="4514" w:type="dxa"/>
            <w:shd w:val="clear" w:color="auto" w:fill="auto"/>
            <w:tcMar>
              <w:top w:w="100" w:type="dxa"/>
              <w:left w:w="100" w:type="dxa"/>
              <w:bottom w:w="100" w:type="dxa"/>
              <w:right w:w="100" w:type="dxa"/>
            </w:tcMar>
          </w:tcPr>
          <w:p w14:paraId="1F0AAFE4" w14:textId="77777777" w:rsidR="00914AD2" w:rsidRPr="00CB0602" w:rsidRDefault="00914AD2">
            <w:pPr>
              <w:widowControl w:val="0"/>
              <w:spacing w:line="240" w:lineRule="auto"/>
              <w:rPr>
                <w:rFonts w:ascii="Open Sans" w:hAnsi="Open Sans" w:cs="Open Sans"/>
                <w:b/>
                <w:color w:val="434343"/>
              </w:rPr>
            </w:pPr>
          </w:p>
        </w:tc>
      </w:tr>
      <w:tr w:rsidR="00914AD2" w:rsidRPr="002F33F1" w14:paraId="515F3FA7" w14:textId="77777777">
        <w:tc>
          <w:tcPr>
            <w:tcW w:w="4514" w:type="dxa"/>
            <w:shd w:val="clear" w:color="auto" w:fill="auto"/>
            <w:tcMar>
              <w:top w:w="100" w:type="dxa"/>
              <w:left w:w="100" w:type="dxa"/>
              <w:bottom w:w="100" w:type="dxa"/>
              <w:right w:w="100" w:type="dxa"/>
            </w:tcMar>
          </w:tcPr>
          <w:p w14:paraId="47F67D7A" w14:textId="3EDDC099" w:rsidR="00914AD2" w:rsidRPr="00CB0602" w:rsidRDefault="0059395E">
            <w:pPr>
              <w:widowControl w:val="0"/>
              <w:spacing w:line="240" w:lineRule="auto"/>
              <w:rPr>
                <w:rFonts w:ascii="Open Sans" w:hAnsi="Open Sans" w:cs="Open Sans"/>
                <w:color w:val="434343"/>
                <w:lang w:val="en-US"/>
              </w:rPr>
            </w:pPr>
            <w:r w:rsidRPr="00CB0602">
              <w:rPr>
                <w:rFonts w:ascii="Open Sans" w:hAnsi="Open Sans" w:cs="Open Sans"/>
                <w:color w:val="434343"/>
                <w:lang w:val="en-US"/>
              </w:rPr>
              <w:t>Date of Issue for This Version</w:t>
            </w:r>
          </w:p>
        </w:tc>
        <w:tc>
          <w:tcPr>
            <w:tcW w:w="4514" w:type="dxa"/>
            <w:shd w:val="clear" w:color="auto" w:fill="auto"/>
            <w:tcMar>
              <w:top w:w="100" w:type="dxa"/>
              <w:left w:w="100" w:type="dxa"/>
              <w:bottom w:w="100" w:type="dxa"/>
              <w:right w:w="100" w:type="dxa"/>
            </w:tcMar>
          </w:tcPr>
          <w:p w14:paraId="56388550" w14:textId="77777777" w:rsidR="00914AD2" w:rsidRPr="00CB0602" w:rsidRDefault="00914AD2">
            <w:pPr>
              <w:widowControl w:val="0"/>
              <w:spacing w:line="240" w:lineRule="auto"/>
              <w:rPr>
                <w:rFonts w:ascii="Open Sans" w:hAnsi="Open Sans" w:cs="Open Sans"/>
                <w:b/>
                <w:color w:val="434343"/>
                <w:lang w:val="en-US"/>
              </w:rPr>
            </w:pPr>
          </w:p>
        </w:tc>
      </w:tr>
      <w:tr w:rsidR="00914AD2" w:rsidRPr="00CB0602" w14:paraId="1119CB64" w14:textId="77777777">
        <w:tc>
          <w:tcPr>
            <w:tcW w:w="4514" w:type="dxa"/>
            <w:shd w:val="clear" w:color="auto" w:fill="auto"/>
            <w:tcMar>
              <w:top w:w="100" w:type="dxa"/>
              <w:left w:w="100" w:type="dxa"/>
              <w:bottom w:w="100" w:type="dxa"/>
              <w:right w:w="100" w:type="dxa"/>
            </w:tcMar>
          </w:tcPr>
          <w:p w14:paraId="4E19D198" w14:textId="17F1FC69" w:rsidR="00914AD2" w:rsidRPr="00CB0602" w:rsidRDefault="0059395E">
            <w:pPr>
              <w:widowControl w:val="0"/>
              <w:spacing w:line="240" w:lineRule="auto"/>
              <w:rPr>
                <w:rFonts w:ascii="Open Sans" w:hAnsi="Open Sans" w:cs="Open Sans"/>
                <w:color w:val="434343"/>
              </w:rPr>
            </w:pPr>
            <w:r w:rsidRPr="00CB0602">
              <w:rPr>
                <w:rFonts w:ascii="Open Sans" w:hAnsi="Open Sans" w:cs="Open Sans"/>
                <w:color w:val="434343"/>
              </w:rPr>
              <w:t>Responsible Person</w:t>
            </w:r>
          </w:p>
        </w:tc>
        <w:tc>
          <w:tcPr>
            <w:tcW w:w="4514" w:type="dxa"/>
            <w:shd w:val="clear" w:color="auto" w:fill="auto"/>
            <w:tcMar>
              <w:top w:w="100" w:type="dxa"/>
              <w:left w:w="100" w:type="dxa"/>
              <w:bottom w:w="100" w:type="dxa"/>
              <w:right w:w="100" w:type="dxa"/>
            </w:tcMar>
          </w:tcPr>
          <w:p w14:paraId="4F8A8B96" w14:textId="77777777" w:rsidR="00914AD2" w:rsidRPr="00CB0602" w:rsidRDefault="00914AD2">
            <w:pPr>
              <w:widowControl w:val="0"/>
              <w:spacing w:line="240" w:lineRule="auto"/>
              <w:rPr>
                <w:rFonts w:ascii="Open Sans" w:hAnsi="Open Sans" w:cs="Open Sans"/>
                <w:b/>
                <w:color w:val="434343"/>
              </w:rPr>
            </w:pPr>
          </w:p>
        </w:tc>
      </w:tr>
      <w:tr w:rsidR="00914AD2" w:rsidRPr="00CB0602" w14:paraId="263E8EC5" w14:textId="77777777">
        <w:tc>
          <w:tcPr>
            <w:tcW w:w="4514" w:type="dxa"/>
            <w:shd w:val="clear" w:color="auto" w:fill="auto"/>
            <w:tcMar>
              <w:top w:w="100" w:type="dxa"/>
              <w:left w:w="100" w:type="dxa"/>
              <w:bottom w:w="100" w:type="dxa"/>
              <w:right w:w="100" w:type="dxa"/>
            </w:tcMar>
          </w:tcPr>
          <w:p w14:paraId="259C8343" w14:textId="77777777" w:rsidR="00914AD2" w:rsidRPr="00CB0602" w:rsidRDefault="00291918">
            <w:pPr>
              <w:widowControl w:val="0"/>
              <w:spacing w:line="240" w:lineRule="auto"/>
              <w:rPr>
                <w:rFonts w:ascii="Open Sans" w:hAnsi="Open Sans" w:cs="Open Sans"/>
                <w:color w:val="434343"/>
              </w:rPr>
            </w:pPr>
            <w:r w:rsidRPr="00CB0602">
              <w:rPr>
                <w:rFonts w:ascii="Open Sans" w:hAnsi="Open Sans" w:cs="Open Sans"/>
                <w:color w:val="434343"/>
              </w:rPr>
              <w:t>Status</w:t>
            </w:r>
          </w:p>
        </w:tc>
        <w:tc>
          <w:tcPr>
            <w:tcW w:w="4514" w:type="dxa"/>
            <w:shd w:val="clear" w:color="auto" w:fill="auto"/>
            <w:tcMar>
              <w:top w:w="100" w:type="dxa"/>
              <w:left w:w="100" w:type="dxa"/>
              <w:bottom w:w="100" w:type="dxa"/>
              <w:right w:w="100" w:type="dxa"/>
            </w:tcMar>
          </w:tcPr>
          <w:p w14:paraId="00646335" w14:textId="77777777" w:rsidR="00914AD2" w:rsidRPr="00CB0602" w:rsidRDefault="00914AD2">
            <w:pPr>
              <w:widowControl w:val="0"/>
              <w:spacing w:line="240" w:lineRule="auto"/>
              <w:rPr>
                <w:rFonts w:ascii="Open Sans" w:hAnsi="Open Sans" w:cs="Open Sans"/>
                <w:b/>
                <w:color w:val="434343"/>
              </w:rPr>
            </w:pPr>
          </w:p>
        </w:tc>
      </w:tr>
    </w:tbl>
    <w:p w14:paraId="48F7DCFB" w14:textId="77777777" w:rsidR="00914AD2" w:rsidRPr="00CB0602" w:rsidRDefault="00914AD2">
      <w:pPr>
        <w:spacing w:after="160"/>
        <w:rPr>
          <w:rFonts w:ascii="Open Sans" w:eastAsia="Open Sans" w:hAnsi="Open Sans" w:cs="Open Sans"/>
        </w:rPr>
      </w:pPr>
    </w:p>
    <w:sectPr w:rsidR="00914AD2" w:rsidRPr="00CB0602">
      <w:footerReference w:type="default" r:id="rId7"/>
      <w:headerReference w:type="first" r:id="rId8"/>
      <w:footerReference w:type="first" r:id="rId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5216" w14:textId="77777777" w:rsidR="0023792C" w:rsidRDefault="0023792C">
      <w:pPr>
        <w:spacing w:line="240" w:lineRule="auto"/>
      </w:pPr>
      <w:r>
        <w:separator/>
      </w:r>
    </w:p>
  </w:endnote>
  <w:endnote w:type="continuationSeparator" w:id="0">
    <w:p w14:paraId="0BA487C7" w14:textId="77777777" w:rsidR="0023792C" w:rsidRDefault="00237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D0DB" w14:textId="77777777" w:rsidR="00D83408" w:rsidRPr="00D83408" w:rsidRDefault="00D83408" w:rsidP="00D8340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Wired Relations’ templates are for the use of the organization only and may not be redistributed. The templates do not constitute legal advice and their use is the responsibility of the organization.</w:t>
    </w:r>
  </w:p>
  <w:p w14:paraId="0D0AE249" w14:textId="79D29F9A" w:rsidR="00914AD2" w:rsidRPr="00D83408" w:rsidRDefault="00914AD2">
    <w:pPr>
      <w:widowControl w:val="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2C4E" w14:textId="32FC60C1" w:rsidR="00914AD2" w:rsidRPr="00D83408" w:rsidRDefault="00291918">
    <w:pPr>
      <w:widowControl w:val="0"/>
      <w:rPr>
        <w:rFonts w:ascii="Open Sans" w:eastAsia="Open Sans" w:hAnsi="Open Sans" w:cs="Open Sans"/>
        <w:color w:val="666666"/>
        <w:sz w:val="20"/>
        <w:szCs w:val="20"/>
        <w:lang w:val="en-US"/>
      </w:rPr>
    </w:pPr>
    <w:r w:rsidRPr="00D83408">
      <w:rPr>
        <w:rFonts w:ascii="Open Sans" w:eastAsia="Open Sans" w:hAnsi="Open Sans" w:cs="Open Sans"/>
        <w:color w:val="666666"/>
        <w:sz w:val="16"/>
        <w:szCs w:val="16"/>
        <w:lang w:val="en-US"/>
      </w:rPr>
      <w:t xml:space="preserve">* Wired Relations’ </w:t>
    </w:r>
    <w:r w:rsidR="00D83408" w:rsidRPr="00D83408">
      <w:rPr>
        <w:rFonts w:ascii="Open Sans" w:eastAsia="Open Sans" w:hAnsi="Open Sans" w:cs="Open Sans"/>
        <w:color w:val="666666"/>
        <w:sz w:val="16"/>
        <w:szCs w:val="16"/>
        <w:lang w:val="en-US"/>
      </w:rPr>
      <w:t>templates are for the use of the organization only and may not be redistributed. The templates do not constitute legal advice and their use is the responsibility of the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15EF" w14:textId="77777777" w:rsidR="0023792C" w:rsidRDefault="0023792C">
      <w:pPr>
        <w:spacing w:line="240" w:lineRule="auto"/>
      </w:pPr>
      <w:r>
        <w:separator/>
      </w:r>
    </w:p>
  </w:footnote>
  <w:footnote w:type="continuationSeparator" w:id="0">
    <w:p w14:paraId="289E02AC" w14:textId="77777777" w:rsidR="0023792C" w:rsidRDefault="002379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0548" w14:textId="77777777" w:rsidR="00914AD2" w:rsidRDefault="00291918">
    <w:pPr>
      <w:jc w:val="right"/>
    </w:pPr>
    <w:r>
      <w:rPr>
        <w:noProof/>
      </w:rPr>
      <w:drawing>
        <wp:inline distT="114300" distB="114300" distL="114300" distR="114300" wp14:anchorId="75391F88" wp14:editId="2B7B9360">
          <wp:extent cx="2422800" cy="6979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2800" cy="6979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425A"/>
    <w:multiLevelType w:val="multilevel"/>
    <w:tmpl w:val="54189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8068D"/>
    <w:multiLevelType w:val="multilevel"/>
    <w:tmpl w:val="20B0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C6A85"/>
    <w:multiLevelType w:val="multilevel"/>
    <w:tmpl w:val="7284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01A80"/>
    <w:multiLevelType w:val="multilevel"/>
    <w:tmpl w:val="C28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A1312"/>
    <w:multiLevelType w:val="hybridMultilevel"/>
    <w:tmpl w:val="8F4CD6B4"/>
    <w:lvl w:ilvl="0" w:tplc="D026F2A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EF435D2"/>
    <w:multiLevelType w:val="multilevel"/>
    <w:tmpl w:val="F5F2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36C33"/>
    <w:multiLevelType w:val="multilevel"/>
    <w:tmpl w:val="58E8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B762AB"/>
    <w:multiLevelType w:val="multilevel"/>
    <w:tmpl w:val="FAB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23309"/>
    <w:multiLevelType w:val="multilevel"/>
    <w:tmpl w:val="4258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D1011"/>
    <w:multiLevelType w:val="multilevel"/>
    <w:tmpl w:val="341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578F0"/>
    <w:multiLevelType w:val="multilevel"/>
    <w:tmpl w:val="E7D2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76FB3"/>
    <w:multiLevelType w:val="multilevel"/>
    <w:tmpl w:val="0D0E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8315F"/>
    <w:multiLevelType w:val="multilevel"/>
    <w:tmpl w:val="831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37150"/>
    <w:multiLevelType w:val="multilevel"/>
    <w:tmpl w:val="9C20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F35E5"/>
    <w:multiLevelType w:val="multilevel"/>
    <w:tmpl w:val="A39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1A4028"/>
    <w:multiLevelType w:val="hybridMultilevel"/>
    <w:tmpl w:val="1054D7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3897A8E"/>
    <w:multiLevelType w:val="hybridMultilevel"/>
    <w:tmpl w:val="5F06E3D4"/>
    <w:lvl w:ilvl="0" w:tplc="439E868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92765F8"/>
    <w:multiLevelType w:val="multilevel"/>
    <w:tmpl w:val="419C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3617A1"/>
    <w:multiLevelType w:val="multilevel"/>
    <w:tmpl w:val="7B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F82B4F"/>
    <w:multiLevelType w:val="multilevel"/>
    <w:tmpl w:val="730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0C76A7"/>
    <w:multiLevelType w:val="multilevel"/>
    <w:tmpl w:val="4FD29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046846"/>
    <w:multiLevelType w:val="hybridMultilevel"/>
    <w:tmpl w:val="CE088CDA"/>
    <w:lvl w:ilvl="0" w:tplc="CC94DCF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C390951"/>
    <w:multiLevelType w:val="multilevel"/>
    <w:tmpl w:val="28A8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F20D0"/>
    <w:multiLevelType w:val="multilevel"/>
    <w:tmpl w:val="290069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7B1722"/>
    <w:multiLevelType w:val="multilevel"/>
    <w:tmpl w:val="76F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624DD"/>
    <w:multiLevelType w:val="multilevel"/>
    <w:tmpl w:val="C232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8B49EE"/>
    <w:multiLevelType w:val="multilevel"/>
    <w:tmpl w:val="F35A7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2947547">
    <w:abstractNumId w:val="6"/>
  </w:num>
  <w:num w:numId="2" w16cid:durableId="1545287736">
    <w:abstractNumId w:val="3"/>
  </w:num>
  <w:num w:numId="3" w16cid:durableId="2142646144">
    <w:abstractNumId w:val="7"/>
  </w:num>
  <w:num w:numId="4" w16cid:durableId="74908911">
    <w:abstractNumId w:val="24"/>
  </w:num>
  <w:num w:numId="5" w16cid:durableId="55469123">
    <w:abstractNumId w:val="5"/>
  </w:num>
  <w:num w:numId="6" w16cid:durableId="855000500">
    <w:abstractNumId w:val="10"/>
  </w:num>
  <w:num w:numId="7" w16cid:durableId="2103136070">
    <w:abstractNumId w:val="14"/>
  </w:num>
  <w:num w:numId="8" w16cid:durableId="1897159576">
    <w:abstractNumId w:val="1"/>
  </w:num>
  <w:num w:numId="9" w16cid:durableId="754209899">
    <w:abstractNumId w:val="22"/>
  </w:num>
  <w:num w:numId="10" w16cid:durableId="1418554074">
    <w:abstractNumId w:val="12"/>
  </w:num>
  <w:num w:numId="11" w16cid:durableId="2089186247">
    <w:abstractNumId w:val="8"/>
  </w:num>
  <w:num w:numId="12" w16cid:durableId="1416709321">
    <w:abstractNumId w:val="18"/>
  </w:num>
  <w:num w:numId="13" w16cid:durableId="1993099304">
    <w:abstractNumId w:val="19"/>
  </w:num>
  <w:num w:numId="14" w16cid:durableId="1397511845">
    <w:abstractNumId w:val="11"/>
  </w:num>
  <w:num w:numId="15" w16cid:durableId="363332906">
    <w:abstractNumId w:val="9"/>
  </w:num>
  <w:num w:numId="16" w16cid:durableId="1243641707">
    <w:abstractNumId w:val="25"/>
  </w:num>
  <w:num w:numId="17" w16cid:durableId="805975623">
    <w:abstractNumId w:val="0"/>
  </w:num>
  <w:num w:numId="18" w16cid:durableId="172644559">
    <w:abstractNumId w:val="26"/>
  </w:num>
  <w:num w:numId="19" w16cid:durableId="45221683">
    <w:abstractNumId w:val="17"/>
  </w:num>
  <w:num w:numId="20" w16cid:durableId="537553016">
    <w:abstractNumId w:val="20"/>
  </w:num>
  <w:num w:numId="21" w16cid:durableId="2091079061">
    <w:abstractNumId w:val="2"/>
  </w:num>
  <w:num w:numId="22" w16cid:durableId="646665829">
    <w:abstractNumId w:val="23"/>
  </w:num>
  <w:num w:numId="23" w16cid:durableId="2105493964">
    <w:abstractNumId w:val="15"/>
  </w:num>
  <w:num w:numId="24" w16cid:durableId="983237023">
    <w:abstractNumId w:val="4"/>
  </w:num>
  <w:num w:numId="25" w16cid:durableId="902133264">
    <w:abstractNumId w:val="16"/>
  </w:num>
  <w:num w:numId="26" w16cid:durableId="1458719107">
    <w:abstractNumId w:val="21"/>
  </w:num>
  <w:num w:numId="27" w16cid:durableId="2066681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2"/>
    <w:rsid w:val="00003D37"/>
    <w:rsid w:val="00032028"/>
    <w:rsid w:val="00225B49"/>
    <w:rsid w:val="0023792C"/>
    <w:rsid w:val="00256105"/>
    <w:rsid w:val="00291918"/>
    <w:rsid w:val="002A5181"/>
    <w:rsid w:val="002F33F1"/>
    <w:rsid w:val="00366293"/>
    <w:rsid w:val="00384BAA"/>
    <w:rsid w:val="003A3F9B"/>
    <w:rsid w:val="004A6788"/>
    <w:rsid w:val="004C73FA"/>
    <w:rsid w:val="0059395E"/>
    <w:rsid w:val="005A748E"/>
    <w:rsid w:val="00750795"/>
    <w:rsid w:val="008402FA"/>
    <w:rsid w:val="008C26FC"/>
    <w:rsid w:val="00912ED3"/>
    <w:rsid w:val="00914AD2"/>
    <w:rsid w:val="009267B7"/>
    <w:rsid w:val="00A03E26"/>
    <w:rsid w:val="00A2409C"/>
    <w:rsid w:val="00A26826"/>
    <w:rsid w:val="00B358A2"/>
    <w:rsid w:val="00BA7B12"/>
    <w:rsid w:val="00BB6490"/>
    <w:rsid w:val="00BD5933"/>
    <w:rsid w:val="00CB0602"/>
    <w:rsid w:val="00CD1410"/>
    <w:rsid w:val="00D651F3"/>
    <w:rsid w:val="00D83408"/>
    <w:rsid w:val="00ED3962"/>
    <w:rsid w:val="00F35F38"/>
    <w:rsid w:val="00F465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461"/>
  <w15:docId w15:val="{3BD4A5D9-7FA9-44C4-B359-D6D70E2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2A51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5181"/>
  </w:style>
  <w:style w:type="paragraph" w:styleId="Sidefod">
    <w:name w:val="footer"/>
    <w:basedOn w:val="Normal"/>
    <w:link w:val="SidefodTegn"/>
    <w:uiPriority w:val="99"/>
    <w:unhideWhenUsed/>
    <w:rsid w:val="002A51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5181"/>
  </w:style>
  <w:style w:type="character" w:styleId="Strk">
    <w:name w:val="Strong"/>
    <w:basedOn w:val="Standardskrifttypeiafsnit"/>
    <w:uiPriority w:val="22"/>
    <w:qFormat/>
    <w:rsid w:val="00032028"/>
    <w:rPr>
      <w:b/>
      <w:bCs/>
    </w:rPr>
  </w:style>
  <w:style w:type="paragraph" w:styleId="NormalWeb">
    <w:name w:val="Normal (Web)"/>
    <w:basedOn w:val="Normal"/>
    <w:uiPriority w:val="99"/>
    <w:semiHidden/>
    <w:unhideWhenUsed/>
    <w:rsid w:val="00032028"/>
    <w:pPr>
      <w:spacing w:before="100" w:beforeAutospacing="1" w:after="100" w:afterAutospacing="1" w:line="240" w:lineRule="auto"/>
    </w:pPr>
    <w:rPr>
      <w:rFonts w:ascii="Times New Roman" w:eastAsia="Times New Roman" w:hAnsi="Times New Roman" w:cs="Times New Roman"/>
      <w:sz w:val="24"/>
      <w:szCs w:val="24"/>
      <w:lang w:val="da-DK"/>
    </w:rPr>
  </w:style>
  <w:style w:type="character" w:styleId="Hyperlink">
    <w:name w:val="Hyperlink"/>
    <w:basedOn w:val="Standardskrifttypeiafsnit"/>
    <w:uiPriority w:val="99"/>
    <w:unhideWhenUsed/>
    <w:rsid w:val="00032028"/>
    <w:rPr>
      <w:color w:val="0000FF"/>
      <w:u w:val="single"/>
    </w:rPr>
  </w:style>
  <w:style w:type="character" w:styleId="Ulstomtale">
    <w:name w:val="Unresolved Mention"/>
    <w:basedOn w:val="Standardskrifttypeiafsnit"/>
    <w:uiPriority w:val="99"/>
    <w:semiHidden/>
    <w:unhideWhenUsed/>
    <w:rsid w:val="00D83408"/>
    <w:rPr>
      <w:color w:val="605E5C"/>
      <w:shd w:val="clear" w:color="auto" w:fill="E1DFDD"/>
    </w:rPr>
  </w:style>
  <w:style w:type="character" w:styleId="BesgtLink">
    <w:name w:val="FollowedHyperlink"/>
    <w:basedOn w:val="Standardskrifttypeiafsnit"/>
    <w:uiPriority w:val="99"/>
    <w:semiHidden/>
    <w:unhideWhenUsed/>
    <w:rsid w:val="008C26FC"/>
    <w:rPr>
      <w:color w:val="800080" w:themeColor="followedHyperlink"/>
      <w:u w:val="single"/>
    </w:rPr>
  </w:style>
  <w:style w:type="paragraph" w:styleId="Listeafsnit">
    <w:name w:val="List Paragraph"/>
    <w:basedOn w:val="Normal"/>
    <w:uiPriority w:val="34"/>
    <w:qFormat/>
    <w:rsid w:val="00225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838">
      <w:bodyDiv w:val="1"/>
      <w:marLeft w:val="0"/>
      <w:marRight w:val="0"/>
      <w:marTop w:val="0"/>
      <w:marBottom w:val="0"/>
      <w:divBdr>
        <w:top w:val="none" w:sz="0" w:space="0" w:color="auto"/>
        <w:left w:val="none" w:sz="0" w:space="0" w:color="auto"/>
        <w:bottom w:val="none" w:sz="0" w:space="0" w:color="auto"/>
        <w:right w:val="none" w:sz="0" w:space="0" w:color="auto"/>
      </w:divBdr>
    </w:div>
    <w:div w:id="220093195">
      <w:bodyDiv w:val="1"/>
      <w:marLeft w:val="0"/>
      <w:marRight w:val="0"/>
      <w:marTop w:val="0"/>
      <w:marBottom w:val="0"/>
      <w:divBdr>
        <w:top w:val="none" w:sz="0" w:space="0" w:color="auto"/>
        <w:left w:val="none" w:sz="0" w:space="0" w:color="auto"/>
        <w:bottom w:val="none" w:sz="0" w:space="0" w:color="auto"/>
        <w:right w:val="none" w:sz="0" w:space="0" w:color="auto"/>
      </w:divBdr>
    </w:div>
    <w:div w:id="482358956">
      <w:bodyDiv w:val="1"/>
      <w:marLeft w:val="0"/>
      <w:marRight w:val="0"/>
      <w:marTop w:val="0"/>
      <w:marBottom w:val="0"/>
      <w:divBdr>
        <w:top w:val="none" w:sz="0" w:space="0" w:color="auto"/>
        <w:left w:val="none" w:sz="0" w:space="0" w:color="auto"/>
        <w:bottom w:val="none" w:sz="0" w:space="0" w:color="auto"/>
        <w:right w:val="none" w:sz="0" w:space="0" w:color="auto"/>
      </w:divBdr>
    </w:div>
    <w:div w:id="594823033">
      <w:bodyDiv w:val="1"/>
      <w:marLeft w:val="0"/>
      <w:marRight w:val="0"/>
      <w:marTop w:val="0"/>
      <w:marBottom w:val="0"/>
      <w:divBdr>
        <w:top w:val="none" w:sz="0" w:space="0" w:color="auto"/>
        <w:left w:val="none" w:sz="0" w:space="0" w:color="auto"/>
        <w:bottom w:val="none" w:sz="0" w:space="0" w:color="auto"/>
        <w:right w:val="none" w:sz="0" w:space="0" w:color="auto"/>
      </w:divBdr>
    </w:div>
    <w:div w:id="697852906">
      <w:bodyDiv w:val="1"/>
      <w:marLeft w:val="0"/>
      <w:marRight w:val="0"/>
      <w:marTop w:val="0"/>
      <w:marBottom w:val="0"/>
      <w:divBdr>
        <w:top w:val="none" w:sz="0" w:space="0" w:color="auto"/>
        <w:left w:val="none" w:sz="0" w:space="0" w:color="auto"/>
        <w:bottom w:val="none" w:sz="0" w:space="0" w:color="auto"/>
        <w:right w:val="none" w:sz="0" w:space="0" w:color="auto"/>
      </w:divBdr>
    </w:div>
    <w:div w:id="940140141">
      <w:bodyDiv w:val="1"/>
      <w:marLeft w:val="0"/>
      <w:marRight w:val="0"/>
      <w:marTop w:val="0"/>
      <w:marBottom w:val="0"/>
      <w:divBdr>
        <w:top w:val="none" w:sz="0" w:space="0" w:color="auto"/>
        <w:left w:val="none" w:sz="0" w:space="0" w:color="auto"/>
        <w:bottom w:val="none" w:sz="0" w:space="0" w:color="auto"/>
        <w:right w:val="none" w:sz="0" w:space="0" w:color="auto"/>
      </w:divBdr>
    </w:div>
    <w:div w:id="996421465">
      <w:bodyDiv w:val="1"/>
      <w:marLeft w:val="0"/>
      <w:marRight w:val="0"/>
      <w:marTop w:val="0"/>
      <w:marBottom w:val="0"/>
      <w:divBdr>
        <w:top w:val="none" w:sz="0" w:space="0" w:color="auto"/>
        <w:left w:val="none" w:sz="0" w:space="0" w:color="auto"/>
        <w:bottom w:val="none" w:sz="0" w:space="0" w:color="auto"/>
        <w:right w:val="none" w:sz="0" w:space="0" w:color="auto"/>
      </w:divBdr>
    </w:div>
    <w:div w:id="1105885806">
      <w:bodyDiv w:val="1"/>
      <w:marLeft w:val="0"/>
      <w:marRight w:val="0"/>
      <w:marTop w:val="0"/>
      <w:marBottom w:val="0"/>
      <w:divBdr>
        <w:top w:val="none" w:sz="0" w:space="0" w:color="auto"/>
        <w:left w:val="none" w:sz="0" w:space="0" w:color="auto"/>
        <w:bottom w:val="none" w:sz="0" w:space="0" w:color="auto"/>
        <w:right w:val="none" w:sz="0" w:space="0" w:color="auto"/>
      </w:divBdr>
    </w:div>
    <w:div w:id="1149204320">
      <w:bodyDiv w:val="1"/>
      <w:marLeft w:val="0"/>
      <w:marRight w:val="0"/>
      <w:marTop w:val="0"/>
      <w:marBottom w:val="0"/>
      <w:divBdr>
        <w:top w:val="none" w:sz="0" w:space="0" w:color="auto"/>
        <w:left w:val="none" w:sz="0" w:space="0" w:color="auto"/>
        <w:bottom w:val="none" w:sz="0" w:space="0" w:color="auto"/>
        <w:right w:val="none" w:sz="0" w:space="0" w:color="auto"/>
      </w:divBdr>
    </w:div>
    <w:div w:id="1283145262">
      <w:bodyDiv w:val="1"/>
      <w:marLeft w:val="0"/>
      <w:marRight w:val="0"/>
      <w:marTop w:val="0"/>
      <w:marBottom w:val="0"/>
      <w:divBdr>
        <w:top w:val="none" w:sz="0" w:space="0" w:color="auto"/>
        <w:left w:val="none" w:sz="0" w:space="0" w:color="auto"/>
        <w:bottom w:val="none" w:sz="0" w:space="0" w:color="auto"/>
        <w:right w:val="none" w:sz="0" w:space="0" w:color="auto"/>
      </w:divBdr>
    </w:div>
    <w:div w:id="1730567423">
      <w:bodyDiv w:val="1"/>
      <w:marLeft w:val="0"/>
      <w:marRight w:val="0"/>
      <w:marTop w:val="0"/>
      <w:marBottom w:val="0"/>
      <w:divBdr>
        <w:top w:val="none" w:sz="0" w:space="0" w:color="auto"/>
        <w:left w:val="none" w:sz="0" w:space="0" w:color="auto"/>
        <w:bottom w:val="none" w:sz="0" w:space="0" w:color="auto"/>
        <w:right w:val="none" w:sz="0" w:space="0" w:color="auto"/>
      </w:divBdr>
    </w:div>
    <w:div w:id="1918051581">
      <w:bodyDiv w:val="1"/>
      <w:marLeft w:val="0"/>
      <w:marRight w:val="0"/>
      <w:marTop w:val="0"/>
      <w:marBottom w:val="0"/>
      <w:divBdr>
        <w:top w:val="none" w:sz="0" w:space="0" w:color="auto"/>
        <w:left w:val="none" w:sz="0" w:space="0" w:color="auto"/>
        <w:bottom w:val="none" w:sz="0" w:space="0" w:color="auto"/>
        <w:right w:val="none" w:sz="0" w:space="0" w:color="auto"/>
      </w:divBdr>
    </w:div>
    <w:div w:id="2040084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1012</Words>
  <Characters>6175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Dollerup Mortensen</dc:creator>
  <cp:lastModifiedBy>Helle Dollerup Mortensen</cp:lastModifiedBy>
  <cp:revision>4</cp:revision>
  <dcterms:created xsi:type="dcterms:W3CDTF">2024-03-08T11:32:00Z</dcterms:created>
  <dcterms:modified xsi:type="dcterms:W3CDTF">2024-03-08T14:36:00Z</dcterms:modified>
</cp:coreProperties>
</file>