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sz w:val="18"/>
                <w:szCs w:val="18"/>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sz w:val="18"/>
                <w:szCs w:val="18"/>
              </w:rPr>
            </w:pPr>
            <w:r w:rsidDel="00000000" w:rsidR="00000000" w:rsidRPr="00000000">
              <w:rPr>
                <w:rFonts w:ascii="Inter" w:cs="Inter" w:eastAsia="Inter" w:hAnsi="Inter"/>
                <w:color w:val="1b1739"/>
                <w:sz w:val="18"/>
                <w:szCs w:val="18"/>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sz w:val="18"/>
                <w:szCs w:val="18"/>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sz w:val="6"/>
                <w:szCs w:val="6"/>
              </w:rPr>
            </w:pPr>
            <w:r w:rsidDel="00000000" w:rsidR="00000000" w:rsidRPr="00000000">
              <w:rPr>
                <w:rFonts w:ascii="Inter" w:cs="Inter" w:eastAsia="Inter" w:hAnsi="Inter"/>
                <w:color w:val="1b1739"/>
                <w:sz w:val="18"/>
                <w:szCs w:val="18"/>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sz w:val="18"/>
                <w:szCs w:val="18"/>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sz w:val="6"/>
                <w:szCs w:val="6"/>
              </w:rPr>
            </w:pPr>
            <w:r w:rsidDel="00000000" w:rsidR="00000000" w:rsidRPr="00000000">
              <w:rPr>
                <w:rFonts w:ascii="Inter" w:cs="Inter" w:eastAsia="Inter" w:hAnsi="Inter"/>
                <w:color w:val="1b1739"/>
                <w:sz w:val="18"/>
                <w:szCs w:val="18"/>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sz w:val="18"/>
                <w:szCs w:val="18"/>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sz w:val="18"/>
                <w:szCs w:val="18"/>
              </w:rPr>
            </w:pPr>
            <w:r w:rsidDel="00000000" w:rsidR="00000000" w:rsidRPr="00000000">
              <w:rPr>
                <w:rFonts w:ascii="Inter" w:cs="Inter" w:eastAsia="Inter" w:hAnsi="Inter"/>
                <w:color w:val="1b1739"/>
                <w:sz w:val="18"/>
                <w:szCs w:val="18"/>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Open Sans" w:cs="Open Sans" w:eastAsia="Open Sans" w:hAnsi="Open Sans"/>
          <w:b w:val="1"/>
          <w:color w:val="000000"/>
          <w:sz w:val="26"/>
          <w:szCs w:val="26"/>
        </w:rPr>
      </w:pPr>
      <w:bookmarkStart w:colFirst="0" w:colLast="0" w:name="_heading=h.l4hdtcsqbuc"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Open Sans" w:cs="Open Sans" w:eastAsia="Open Sans" w:hAnsi="Open Sans"/>
          <w:b w:val="1"/>
          <w:color w:val="000000"/>
          <w:sz w:val="26"/>
          <w:szCs w:val="26"/>
        </w:rPr>
      </w:pPr>
      <w:bookmarkStart w:colFirst="0" w:colLast="0" w:name="_heading=h.vgzxi0b4jfcw" w:id="1"/>
      <w:bookmarkEnd w:id="1"/>
      <w:r w:rsidDel="00000000" w:rsidR="00000000" w:rsidRPr="00000000">
        <w:rPr>
          <w:rFonts w:ascii="Open Sans" w:cs="Open Sans" w:eastAsia="Open Sans" w:hAnsi="Open Sans"/>
          <w:b w:val="1"/>
          <w:color w:val="000000"/>
          <w:sz w:val="26"/>
          <w:szCs w:val="26"/>
          <w:rtl w:val="0"/>
        </w:rPr>
        <w:t xml:space="preserve">Procedure for Handling Data Processor Agreements</w:t>
      </w:r>
    </w:p>
    <w:p w:rsidR="00000000" w:rsidDel="00000000" w:rsidP="00000000" w:rsidRDefault="00000000" w:rsidRPr="00000000" w14:paraId="00000018">
      <w:pPr>
        <w:spacing w:after="240" w:befor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9">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1. Purpose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A">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This procedure describes: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procedure for entering into data processor agreements with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data processors (section 2) </w:t>
      </w:r>
    </w:p>
    <w:p w:rsidR="00000000" w:rsidDel="00000000" w:rsidP="00000000" w:rsidRDefault="00000000" w:rsidRPr="00000000" w14:paraId="0000001B">
      <w:pPr>
        <w:spacing w:after="0" w:before="0" w:lineRule="auto"/>
        <w:rPr>
          <w:rFonts w:ascii="Open Sans" w:cs="Open Sans" w:eastAsia="Open Sans" w:hAnsi="Open Sans"/>
        </w:rPr>
      </w:pP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procedure for controlling data processor agreements entered into with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data processors (section 3).</w:t>
      </w:r>
    </w:p>
    <w:p w:rsidR="00000000" w:rsidDel="00000000" w:rsidP="00000000" w:rsidRDefault="00000000" w:rsidRPr="00000000" w14:paraId="0000001C">
      <w:pPr>
        <w:spacing w:after="0" w:before="0" w:lineRule="auto"/>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before="0" w:lineRule="auto"/>
              <w:rPr>
                <w:rFonts w:ascii="Open Sans" w:cs="Open Sans" w:eastAsia="Open Sans" w:hAnsi="Open Sans"/>
                <w:b w:val="1"/>
              </w:rPr>
            </w:pP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procedure for entering into data processor agreements with customers (section 4)</w:t>
            </w:r>
            <w:r w:rsidDel="00000000" w:rsidR="00000000" w:rsidRPr="00000000">
              <w:rPr>
                <w:rtl w:val="0"/>
              </w:rPr>
            </w:r>
          </w:p>
        </w:tc>
      </w:tr>
    </w:tbl>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2. Entering into Data Processor Agreements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1">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Prior to the use of a new supplier, the compliance officer shall assess whether the supplier in question is a data processor for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 as in that case a data processor agreement must be entered into.</w:t>
      </w:r>
    </w:p>
    <w:p w:rsidR="00000000" w:rsidDel="00000000" w:rsidP="00000000" w:rsidRDefault="00000000" w:rsidRPr="00000000" w14:paraId="00000022">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data processor agreement must be drawn up in accordance with Article 28(3) of the General Data Protection Regulation. The compliance officer shall assess which requirements must be imposed on the data processor in question; including which technical and organizational security measures the data processor must have implemented.</w:t>
      </w:r>
    </w:p>
    <w:p w:rsidR="00000000" w:rsidDel="00000000" w:rsidP="00000000" w:rsidRDefault="00000000" w:rsidRPr="00000000" w14:paraId="00000023">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Only </w:t>
      </w:r>
      <w:r w:rsidDel="00000000" w:rsidR="00000000" w:rsidRPr="00000000">
        <w:rPr>
          <w:rFonts w:ascii="Open Sans" w:cs="Open Sans" w:eastAsia="Open Sans" w:hAnsi="Open Sans"/>
          <w:i w:val="1"/>
          <w:rtl w:val="0"/>
        </w:rPr>
        <w:t xml:space="preserve">[insert name/position]</w:t>
      </w:r>
      <w:r w:rsidDel="00000000" w:rsidR="00000000" w:rsidRPr="00000000">
        <w:rPr>
          <w:rFonts w:ascii="Open Sans" w:cs="Open Sans" w:eastAsia="Open Sans" w:hAnsi="Open Sans"/>
          <w:rtl w:val="0"/>
        </w:rPr>
        <w:t xml:space="preserve"> may enter into binding data processor agreements.</w:t>
      </w:r>
    </w:p>
    <w:p w:rsidR="00000000" w:rsidDel="00000000" w:rsidP="00000000" w:rsidRDefault="00000000" w:rsidRPr="00000000" w14:paraId="00000025">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3. Data Processor Audits</w:t>
      </w:r>
      <w:r w:rsidDel="00000000" w:rsidR="00000000" w:rsidRPr="00000000">
        <w:rPr>
          <w:rtl w:val="0"/>
        </w:rPr>
      </w:r>
    </w:p>
    <w:p w:rsidR="00000000" w:rsidDel="00000000" w:rsidP="00000000" w:rsidRDefault="00000000" w:rsidRPr="00000000" w14:paraId="00000028">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compliance officer shall assess:</w:t>
      </w:r>
    </w:p>
    <w:p w:rsidR="00000000" w:rsidDel="00000000" w:rsidP="00000000" w:rsidRDefault="00000000" w:rsidRPr="00000000" w14:paraId="00000029">
      <w:pPr>
        <w:numPr>
          <w:ilvl w:val="0"/>
          <w:numId w:val="2"/>
        </w:numPr>
        <w:spacing w:after="0" w:afterAutospacing="0" w:befor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how often it is necessary to audit each of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data processors.</w:t>
        <w:br w:type="textWrapping"/>
      </w:r>
    </w:p>
    <w:p w:rsidR="00000000" w:rsidDel="00000000" w:rsidP="00000000" w:rsidRDefault="00000000" w:rsidRPr="00000000" w14:paraId="0000002A">
      <w:pPr>
        <w:numPr>
          <w:ilvl w:val="0"/>
          <w:numId w:val="2"/>
        </w:numPr>
        <w:spacing w:after="240" w:before="0" w:beforeAutospacing="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What type of audit should be carried out for each of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data processors, and in this connection create a task to audit the respective supplier on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site in Wired Relations.</w:t>
        <w:br w:type="textWrapping"/>
      </w:r>
    </w:p>
    <w:p w:rsidR="00000000" w:rsidDel="00000000" w:rsidP="00000000" w:rsidRDefault="00000000" w:rsidRPr="00000000" w14:paraId="0000002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The assessment of how often a data processor should be audited, and what type of audit should be carried out, must be based on guidelines on auditing data processors (in Denmark the Danish Data Protection Agency's guidelines on auditing data processors)</w:t>
      </w:r>
    </w:p>
    <w:p w:rsidR="00000000" w:rsidDel="00000000" w:rsidP="00000000" w:rsidRDefault="00000000" w:rsidRPr="00000000" w14:paraId="0000002C">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Data processors who are sub-data processors of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customers must, however, be audited at least once a year.</w:t>
      </w:r>
    </w:p>
    <w:p w:rsidR="00000000" w:rsidDel="00000000" w:rsidP="00000000" w:rsidRDefault="00000000" w:rsidRPr="00000000" w14:paraId="0000002D">
      <w:pPr>
        <w:ind w:left="720" w:firstLine="0"/>
        <w:rPr>
          <w:rFonts w:ascii="Open Sans" w:cs="Open Sans" w:eastAsia="Open Sans" w:hAnsi="Open Sans"/>
        </w:rPr>
      </w:pPr>
      <w:r w:rsidDel="00000000" w:rsidR="00000000" w:rsidRPr="00000000">
        <w:rPr>
          <w:rtl w:val="0"/>
        </w:rPr>
      </w:r>
    </w:p>
    <w:sdt>
      <w:sdtPr>
        <w:lock w:val="contentLocked"/>
        <w:tag w:val="goog_rdk_0"/>
      </w:sdtPr>
      <w:sdtContent>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2E">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4. Entering into Data Processor Agreements with Customers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F">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Only </w:t>
                </w:r>
                <w:r w:rsidDel="00000000" w:rsidR="00000000" w:rsidRPr="00000000">
                  <w:rPr>
                    <w:rFonts w:ascii="Open Sans" w:cs="Open Sans" w:eastAsia="Open Sans" w:hAnsi="Open Sans"/>
                    <w:i w:val="1"/>
                    <w:rtl w:val="0"/>
                  </w:rPr>
                  <w:t xml:space="preserve">[insert name/position]</w:t>
                </w:r>
                <w:r w:rsidDel="00000000" w:rsidR="00000000" w:rsidRPr="00000000">
                  <w:rPr>
                    <w:rFonts w:ascii="Open Sans" w:cs="Open Sans" w:eastAsia="Open Sans" w:hAnsi="Open Sans"/>
                    <w:rtl w:val="0"/>
                  </w:rPr>
                  <w:t xml:space="preserve"> may enter into binding data processor agreements with customers.</w:t>
                </w:r>
              </w:p>
              <w:p w:rsidR="00000000" w:rsidDel="00000000" w:rsidP="00000000" w:rsidRDefault="00000000" w:rsidRPr="00000000" w14:paraId="00000030">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In connection with the conclusion of a data processor agreement with a customer, it must be ensured that the data processor agreement complies with the data protection rules, and that the agreement is in accordance with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information security policy and the policies, guidelines and procedures that derive therefrom.</w:t>
                </w:r>
              </w:p>
              <w:p w:rsidR="00000000" w:rsidDel="00000000" w:rsidP="00000000" w:rsidRDefault="00000000" w:rsidRPr="00000000" w14:paraId="00000031">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In the event that a customer requires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 to have implemented specific security measures, it must be investigated whether the security measure in question has been implemented before the conclusion of the data processor agreement in question.</w:t>
                </w:r>
              </w:p>
              <w:p w:rsidR="00000000" w:rsidDel="00000000" w:rsidP="00000000" w:rsidRDefault="00000000" w:rsidRPr="00000000" w14:paraId="00000032">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It must also be investigated whether the security measure in question has been implemented at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sub-data processors.</w:t>
                </w:r>
              </w:p>
              <w:p w:rsidR="00000000" w:rsidDel="00000000" w:rsidP="00000000" w:rsidRDefault="00000000" w:rsidRPr="00000000" w14:paraId="00000033">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4.1 Use of sub-data processors </w:t>
                </w:r>
              </w:p>
              <w:p w:rsidR="00000000" w:rsidDel="00000000" w:rsidP="00000000" w:rsidRDefault="00000000" w:rsidRPr="00000000" w14:paraId="00000036">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When using a sub-data processor, it must be ensured that a data processor agreement is entered into with the sub-data processor. The data processor agreement must reflect that the level of security agreed with the customer is also ensured by the sub-data processor. It must also be ensured that the sub-data processor acts in accordance with the same instructions.</w:t>
                </w:r>
              </w:p>
              <w:p w:rsidR="00000000" w:rsidDel="00000000" w:rsidP="00000000" w:rsidRDefault="00000000" w:rsidRPr="00000000" w14:paraId="00000037">
                <w:pPr>
                  <w:spacing w:after="0" w:before="0" w:lineRule="auto"/>
                  <w:rPr>
                    <w:rFonts w:ascii="Open Sans" w:cs="Open Sans" w:eastAsia="Open Sans" w:hAnsi="Open Sans"/>
                  </w:rPr>
                </w:pPr>
                <w:r w:rsidDel="00000000" w:rsidR="00000000" w:rsidRPr="00000000">
                  <w:rPr>
                    <w:rFonts w:ascii="Open Sans" w:cs="Open Sans" w:eastAsia="Open Sans" w:hAnsi="Open Sans"/>
                    <w:i w:val="1"/>
                    <w:rtl w:val="0"/>
                  </w:rPr>
                  <w:t xml:space="preserve">[insert company's name] </w:t>
                </w:r>
                <w:r w:rsidDel="00000000" w:rsidR="00000000" w:rsidRPr="00000000">
                  <w:rPr>
                    <w:rFonts w:ascii="Open Sans" w:cs="Open Sans" w:eastAsia="Open Sans" w:hAnsi="Open Sans"/>
                    <w:rtl w:val="0"/>
                  </w:rPr>
                  <w:t xml:space="preserve">only uses sub-data processors who are approved by customers who have entered into a data processor agreement with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38">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data processor agreements generally stipulate that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 has general approval to use sub-data processors provided that notification is given to the customers in question.</w:t>
                </w:r>
              </w:p>
              <w:p w:rsidR="00000000" w:rsidDel="00000000" w:rsidP="00000000" w:rsidRDefault="00000000" w:rsidRPr="00000000" w14:paraId="00000039">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When adding new sub-data processors, customers must therefore be notified in accordance with the data processor agreements. Notification must be made in good time so that customers have the opportunity to object and/or withdraw their personal data.</w:t>
                </w:r>
              </w:p>
              <w:p w:rsidR="00000000" w:rsidDel="00000000" w:rsidP="00000000" w:rsidRDefault="00000000" w:rsidRPr="00000000" w14:paraId="0000003A">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In the event that a data processor agreement is entered into with a requirement for specific approval of sub-data processors, specific approval must be obtained from the customers in question before the sub-data processor in question is used.</w:t>
                </w:r>
              </w:p>
              <w:p w:rsidR="00000000" w:rsidDel="00000000" w:rsidP="00000000" w:rsidRDefault="00000000" w:rsidRPr="00000000" w14:paraId="0000003B">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addition of new sub-data processors must also be in accordance with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's guidelines for the commissioning of new suppliers.</w:t>
                </w:r>
              </w:p>
            </w:tc>
          </w:tr>
        </w:tbl>
      </w:sdtContent>
    </w:sdt>
    <w:p w:rsidR="00000000" w:rsidDel="00000000" w:rsidP="00000000" w:rsidRDefault="00000000" w:rsidRPr="00000000" w14:paraId="0000003C">
      <w:pPr>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spacing w:after="0" w:before="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E">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5. Follow-up</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F">
      <w:pPr>
        <w:spacing w:after="240" w:before="0" w:lineRule="auto"/>
        <w:rPr>
          <w:rFonts w:ascii="Open Sans" w:cs="Open Sans" w:eastAsia="Open Sans" w:hAnsi="Open Sans"/>
        </w:rPr>
      </w:pPr>
      <w:r w:rsidDel="00000000" w:rsidR="00000000" w:rsidRPr="00000000">
        <w:rPr>
          <w:rFonts w:ascii="Open Sans" w:cs="Open Sans" w:eastAsia="Open Sans" w:hAnsi="Open Sans"/>
          <w:rtl w:val="0"/>
        </w:rPr>
        <w:t xml:space="preserve">This procedure is evaluated annually.</w:t>
      </w:r>
    </w:p>
    <w:p w:rsidR="00000000" w:rsidDel="00000000" w:rsidP="00000000" w:rsidRDefault="00000000" w:rsidRPr="00000000" w14:paraId="00000040">
      <w:pPr>
        <w:rPr>
          <w:rFonts w:ascii="Open Sans" w:cs="Open Sans" w:eastAsia="Open Sans" w:hAnsi="Open Sans"/>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C">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1"/>
      </w:sdtPr>
      <w:sdtContent>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Open Sans" w:cs="Open Sans" w:eastAsia="Open Sans" w:hAnsi="Open Sans"/>
                  </w:rPr>
                </w:pPr>
                <w:r w:rsidDel="00000000" w:rsidR="00000000" w:rsidRPr="00000000">
                  <w:rPr>
                    <w:rFonts w:ascii="Open Sans" w:cs="Open Sans" w:eastAsia="Open Sans" w:hAnsi="Open Sans"/>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Open Sans" w:cs="Open Sans" w:eastAsia="Open Sans" w:hAnsi="Open Sans"/>
                  </w:rPr>
                </w:pPr>
                <w:r w:rsidDel="00000000" w:rsidR="00000000" w:rsidRPr="00000000">
                  <w:rPr>
                    <w:rFonts w:ascii="Open Sans" w:cs="Open Sans" w:eastAsia="Open Sans" w:hAnsi="Open Sans"/>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Open Sans" w:cs="Open Sans" w:eastAsia="Open Sans" w:hAnsi="Open Sans"/>
                  </w:rPr>
                </w:pPr>
                <w:r w:rsidDel="00000000" w:rsidR="00000000" w:rsidRPr="00000000">
                  <w:rPr>
                    <w:rFonts w:ascii="Open Sans" w:cs="Open Sans" w:eastAsia="Open Sans" w:hAnsi="Open Sans"/>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Open Sans" w:cs="Open Sans" w:eastAsia="Open Sans" w:hAnsi="Open Sans"/>
                  </w:rPr>
                </w:pPr>
                <w:r w:rsidDel="00000000" w:rsidR="00000000" w:rsidRPr="00000000">
                  <w:rPr>
                    <w:rFonts w:ascii="Open Sans" w:cs="Open Sans" w:eastAsia="Open Sans" w:hAnsi="Open Sans"/>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Open Sans" w:cs="Open Sans" w:eastAsia="Open Sans" w:hAnsi="Open Sans"/>
                    <w:b w:val="1"/>
                  </w:rPr>
                </w:pPr>
                <w:r w:rsidDel="00000000" w:rsidR="00000000" w:rsidRPr="00000000">
                  <w:rPr>
                    <w:rtl w:val="0"/>
                  </w:rPr>
                </w:r>
              </w:p>
            </w:tc>
          </w:tr>
        </w:tbl>
      </w:sdtContent>
    </w:sdt>
    <w:p w:rsidR="00000000" w:rsidDel="00000000" w:rsidP="00000000" w:rsidRDefault="00000000" w:rsidRPr="00000000" w14:paraId="00000055">
      <w:pPr>
        <w:rPr>
          <w:rFonts w:ascii="Open Sans" w:cs="Open Sans" w:eastAsia="Open Sans" w:hAnsi="Open Sans"/>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58">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2.png"/>
          <a:graphic>
            <a:graphicData uri="http://schemas.openxmlformats.org/drawingml/2006/picture">
              <pic:pic>
                <pic:nvPicPr>
                  <pic:cNvPr descr="A black background with black lines&#10;&#10;Description automatically generated" id="0" name="image2.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RIy9UG6/aFP9696ZG4Dd6dVGA==">CgMxLjAaHwoBMBIaChgICVIUChJ0YWJsZS5mdWhyeXJ3dnVybGcaHwoBMRIaChgICVIUChJ0YWJsZS5xdWdpeHIxM2xwdm8yDWgubDRoZHRjc3FidWMyDmgudmd6eGkwYjRqZmN3OAByITFya1AxTmpBcnhPVDV6S2VTcXdkMG5LakQ1RC1wR1Q4Sg==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