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Inter" w:cs="Inter" w:eastAsia="Inter" w:hAnsi="Inter"/>
          <w:color w:val="1b1739"/>
          <w:sz w:val="44"/>
          <w:szCs w:val="44"/>
        </w:rPr>
      </w:pPr>
      <w:r w:rsidDel="00000000" w:rsidR="00000000" w:rsidRPr="00000000">
        <w:rPr>
          <w:rFonts w:ascii="Open Sans" w:cs="Open Sans" w:eastAsia="Open Sans" w:hAnsi="Open Sans"/>
          <w:b w:val="1"/>
          <w:color w:val="1b1739"/>
          <w:sz w:val="26"/>
          <w:szCs w:val="26"/>
          <w:rtl w:val="0"/>
        </w:rPr>
        <w:br w:type="textWrapping"/>
      </w:r>
      <w:r w:rsidDel="00000000" w:rsidR="00000000" w:rsidRPr="00000000">
        <w:rPr>
          <w:rFonts w:ascii="Inter" w:cs="Inter" w:eastAsia="Inter" w:hAnsi="Inter"/>
          <w:b w:val="1"/>
          <w:color w:val="1b1739"/>
          <w:sz w:val="48"/>
          <w:szCs w:val="48"/>
          <w:rtl w:val="0"/>
        </w:rPr>
        <w:t xml:space="preserve">Guide to using </w:t>
        <w:br w:type="textWrapping"/>
        <w:t xml:space="preserve">Wired Relations' templates</w:t>
      </w:r>
      <w:r w:rsidDel="00000000" w:rsidR="00000000" w:rsidRPr="00000000">
        <w:rPr>
          <w:rFonts w:ascii="Inter" w:cs="Inter" w:eastAsia="Inter" w:hAnsi="Inter"/>
          <w:b w:val="1"/>
          <w:color w:val="1b1739"/>
          <w:sz w:val="44"/>
          <w:szCs w:val="44"/>
          <w:rtl w:val="0"/>
        </w:rPr>
        <w:br w:type="textWrapping"/>
      </w:r>
      <w:r w:rsidDel="00000000" w:rsidR="00000000" w:rsidRPr="00000000">
        <w:rPr>
          <w:rFonts w:ascii="Inter" w:cs="Inter" w:eastAsia="Inter" w:hAnsi="Inter"/>
          <w:color w:val="1b1739"/>
          <w:sz w:val="44"/>
          <w:szCs w:val="44"/>
          <w:rtl w:val="0"/>
        </w:rPr>
        <w:br w:type="textWrapping"/>
      </w:r>
      <w:r w:rsidDel="00000000" w:rsidR="00000000" w:rsidRPr="00000000">
        <w:rPr>
          <w:rFonts w:ascii="Inter" w:cs="Inter" w:eastAsia="Inter" w:hAnsi="Inter"/>
          <w:color w:val="1b1739"/>
          <w:rtl w:val="0"/>
        </w:rPr>
        <w:t xml:space="preserve">Wired Relations' templates* can be used directly in your work with data protection and information security - but can also be used as inspiration for your own material. You can modify them as needed to make them exactly as you want them.</w:t>
      </w:r>
      <w:r w:rsidDel="00000000" w:rsidR="00000000" w:rsidRPr="00000000">
        <w:rPr>
          <w:rtl w:val="0"/>
        </w:rPr>
      </w:r>
    </w:p>
    <w:p w:rsidR="00000000" w:rsidDel="00000000" w:rsidP="00000000" w:rsidRDefault="00000000" w:rsidRPr="00000000" w14:paraId="00000002">
      <w:pPr>
        <w:spacing w:after="240" w:before="240" w:lineRule="auto"/>
        <w:rPr>
          <w:rFonts w:ascii="Inter" w:cs="Inter" w:eastAsia="Inter" w:hAnsi="Inter"/>
          <w:color w:val="1b1739"/>
        </w:rPr>
      </w:pPr>
      <w:r w:rsidDel="00000000" w:rsidR="00000000" w:rsidRPr="00000000">
        <w:rPr>
          <w:rFonts w:ascii="Inter" w:cs="Inter" w:eastAsia="Inter" w:hAnsi="Inter"/>
          <w:b w:val="1"/>
          <w:color w:val="1b1739"/>
          <w:rtl w:val="0"/>
        </w:rPr>
        <w:t xml:space="preserve">NOTE!</w:t>
      </w:r>
      <w:r w:rsidDel="00000000" w:rsidR="00000000" w:rsidRPr="00000000">
        <w:rPr>
          <w:rFonts w:ascii="Inter" w:cs="Inter" w:eastAsia="Inter" w:hAnsi="Inter"/>
          <w:color w:val="1b1739"/>
          <w:rtl w:val="0"/>
        </w:rPr>
        <w:t xml:space="preserve"> There may be sections that are not relevant for all companies. If this is the case, it will be clearly indicated in the text.</w:t>
        <w:br w:type="textWrapping"/>
      </w:r>
    </w:p>
    <w:tbl>
      <w:tblPr>
        <w:tblStyle w:val="Table1"/>
        <w:tblW w:w="899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9"/>
        <w:gridCol w:w="8217"/>
        <w:gridCol w:w="220"/>
        <w:tblGridChange w:id="0">
          <w:tblGrid>
            <w:gridCol w:w="559"/>
            <w:gridCol w:w="8217"/>
            <w:gridCol w:w="220"/>
          </w:tblGrid>
        </w:tblGridChange>
      </w:tblGrid>
      <w:tr>
        <w:trPr>
          <w:cantSplit w:val="0"/>
          <w:trHeight w:val="1522" w:hRule="atLeast"/>
          <w:tblHeader w:val="0"/>
        </w:trPr>
        <w:tc>
          <w:tcPr>
            <w:tcBorders>
              <w:top w:color="e5eff1" w:space="0" w:sz="6" w:val="single"/>
              <w:left w:color="e5eff1" w:space="0" w:sz="6" w:val="single"/>
              <w:bottom w:color="e5eff1" w:space="0" w:sz="6" w:val="single"/>
              <w:right w:color="e5eff1" w:space="0" w:sz="6" w:val="single"/>
            </w:tcBorders>
            <w:shd w:fill="e5eff1" w:val="clear"/>
          </w:tcPr>
          <w:p w:rsidR="00000000" w:rsidDel="00000000" w:rsidP="00000000" w:rsidRDefault="00000000" w:rsidRPr="00000000" w14:paraId="00000003">
            <w:pPr>
              <w:spacing w:after="240" w:before="240" w:lineRule="auto"/>
              <w:rPr>
                <w:rFonts w:ascii="Inter" w:cs="Inter" w:eastAsia="Inter" w:hAnsi="Inter"/>
                <w:color w:val="1b1739"/>
              </w:rPr>
            </w:pPr>
            <w:r w:rsidDel="00000000" w:rsidR="00000000" w:rsidRPr="00000000">
              <w:rPr>
                <w:rtl w:val="0"/>
              </w:rPr>
            </w:r>
          </w:p>
        </w:tc>
        <w:tc>
          <w:tcPr>
            <w:tcBorders>
              <w:top w:color="e5eff1" w:space="0" w:sz="6" w:val="single"/>
              <w:left w:color="e5eff1" w:space="0" w:sz="6" w:val="single"/>
              <w:bottom w:color="e5eff1" w:space="0" w:sz="6" w:val="single"/>
              <w:right w:color="e5eff1" w:space="0" w:sz="6" w:val="single"/>
            </w:tcBorders>
            <w:shd w:fill="e5eff1" w:val="clear"/>
            <w:tcMar>
              <w:top w:w="220.0" w:type="dxa"/>
              <w:left w:w="220.0" w:type="dxa"/>
              <w:bottom w:w="220.0" w:type="dxa"/>
              <w:right w:w="220.0" w:type="dxa"/>
            </w:tcMar>
          </w:tcPr>
          <w:p w:rsidR="00000000" w:rsidDel="00000000" w:rsidP="00000000" w:rsidRDefault="00000000" w:rsidRPr="00000000" w14:paraId="00000004">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Text boxes in the document contain focus points and good advice. Please note that the text boxes should be removed </w:t>
              <w:br w:type="textWrapping"/>
              <w:t xml:space="preserve">from the final version of the specific policy or procedure.</w:t>
            </w:r>
          </w:p>
        </w:tc>
        <w:tc>
          <w:tcPr>
            <w:tcBorders>
              <w:top w:color="e5eff1" w:space="0" w:sz="6" w:val="single"/>
              <w:left w:color="e5eff1" w:space="0" w:sz="6" w:val="single"/>
              <w:bottom w:color="e5eff1" w:space="0" w:sz="6" w:val="single"/>
              <w:right w:color="e5eff1" w:space="0" w:sz="6" w:val="single"/>
            </w:tcBorders>
            <w:shd w:fill="e5eff1" w:val="clear"/>
          </w:tcPr>
          <w:p w:rsidR="00000000" w:rsidDel="00000000" w:rsidP="00000000" w:rsidRDefault="00000000" w:rsidRPr="00000000" w14:paraId="00000005">
            <w:pPr>
              <w:spacing w:after="240" w:before="240" w:lineRule="auto"/>
              <w:rPr>
                <w:rFonts w:ascii="Inter" w:cs="Inter" w:eastAsia="Inter" w:hAnsi="Inter"/>
                <w:color w:val="1b1739"/>
              </w:rPr>
            </w:pPr>
            <w:r w:rsidDel="00000000" w:rsidR="00000000" w:rsidRPr="00000000">
              <w:rPr>
                <w:rtl w:val="0"/>
              </w:rPr>
            </w:r>
          </w:p>
        </w:tc>
      </w:tr>
    </w:tbl>
    <w:p w:rsidR="00000000" w:rsidDel="00000000" w:rsidP="00000000" w:rsidRDefault="00000000" w:rsidRPr="00000000" w14:paraId="00000006">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br w:type="textWrapping"/>
        <w:t xml:space="preserve">There will be places in the text where you are prompted to insert the company’s name or other information. In these cases, it will be marked as follows: </w:t>
      </w:r>
      <w:r w:rsidDel="00000000" w:rsidR="00000000" w:rsidRPr="00000000">
        <w:rPr>
          <w:rFonts w:ascii="Inter" w:cs="Inter" w:eastAsia="Inter" w:hAnsi="Inter"/>
          <w:i w:val="1"/>
          <w:color w:val="1b1739"/>
          <w:rtl w:val="0"/>
        </w:rPr>
        <w:t xml:space="preserve">[insert company's name]</w:t>
      </w:r>
      <w:r w:rsidDel="00000000" w:rsidR="00000000" w:rsidRPr="00000000">
        <w:rPr>
          <w:rFonts w:ascii="Inter" w:cs="Inter" w:eastAsia="Inter" w:hAnsi="Inter"/>
          <w:color w:val="1b1739"/>
          <w:rtl w:val="0"/>
        </w:rPr>
        <w:t xml:space="preserve">.</w:t>
      </w:r>
    </w:p>
    <w:p w:rsidR="00000000" w:rsidDel="00000000" w:rsidP="00000000" w:rsidRDefault="00000000" w:rsidRPr="00000000" w14:paraId="00000007">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At the end of each document, there will be a table that provides an overview of the document's version, the latest update, and who is responsible for the document.</w:t>
      </w:r>
    </w:p>
    <w:p w:rsidR="00000000" w:rsidDel="00000000" w:rsidP="00000000" w:rsidRDefault="00000000" w:rsidRPr="00000000" w14:paraId="00000008">
      <w:pPr>
        <w:jc w:val="center"/>
        <w:rPr>
          <w:rFonts w:ascii="Inter" w:cs="Inter" w:eastAsia="Inter" w:hAnsi="Inter"/>
          <w:color w:val="1b1739"/>
        </w:rPr>
      </w:pPr>
      <w:r w:rsidDel="00000000" w:rsidR="00000000" w:rsidRPr="00000000">
        <w:rPr>
          <w:rtl w:val="0"/>
        </w:rPr>
      </w:r>
    </w:p>
    <w:tbl>
      <w:tblPr>
        <w:tblStyle w:val="Table2"/>
        <w:tblW w:w="11908.0" w:type="dxa"/>
        <w:jc w:val="left"/>
        <w:tblInd w:w="-1418.0" w:type="dxa"/>
        <w:tblLayout w:type="fixed"/>
        <w:tblLook w:val="0400"/>
      </w:tblPr>
      <w:tblGrid>
        <w:gridCol w:w="1312"/>
        <w:gridCol w:w="9178"/>
        <w:gridCol w:w="1418"/>
        <w:tblGridChange w:id="0">
          <w:tblGrid>
            <w:gridCol w:w="1312"/>
            <w:gridCol w:w="9178"/>
            <w:gridCol w:w="1418"/>
          </w:tblGrid>
        </w:tblGridChange>
      </w:tblGrid>
      <w:tr>
        <w:trPr>
          <w:cantSplit w:val="0"/>
          <w:trHeight w:val="1093" w:hRule="atLeast"/>
          <w:tblHeader w:val="0"/>
        </w:trPr>
        <w:tc>
          <w:tcPr>
            <w:shd w:fill="fbfaf9" w:val="clear"/>
          </w:tcPr>
          <w:p w:rsidR="00000000" w:rsidDel="00000000" w:rsidP="00000000" w:rsidRDefault="00000000" w:rsidRPr="00000000" w14:paraId="00000009">
            <w:pPr>
              <w:spacing w:after="240" w:before="240" w:lineRule="auto"/>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0A">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br w:type="textWrapping"/>
              <w:t xml:space="preserve">Here are some additional tips for using Wired Relations' templates:</w:t>
            </w:r>
          </w:p>
        </w:tc>
        <w:tc>
          <w:tcPr>
            <w:shd w:fill="fbfaf9" w:val="clear"/>
          </w:tcPr>
          <w:p w:rsidR="00000000" w:rsidDel="00000000" w:rsidP="00000000" w:rsidRDefault="00000000" w:rsidRPr="00000000" w14:paraId="0000000B">
            <w:pPr>
              <w:spacing w:after="240" w:before="240" w:lineRule="auto"/>
              <w:rPr>
                <w:rFonts w:ascii="Inter" w:cs="Inter" w:eastAsia="Inter" w:hAnsi="Inter"/>
                <w:color w:val="1b1739"/>
              </w:rPr>
            </w:pPr>
            <w:r w:rsidDel="00000000" w:rsidR="00000000" w:rsidRPr="00000000">
              <w:rPr>
                <w:rtl w:val="0"/>
              </w:rPr>
            </w:r>
          </w:p>
        </w:tc>
      </w:tr>
      <w:tr>
        <w:trPr>
          <w:cantSplit w:val="0"/>
          <w:trHeight w:val="437" w:hRule="atLeast"/>
          <w:tblHeader w:val="0"/>
        </w:trPr>
        <w:tc>
          <w:tcPr>
            <w:shd w:fill="fbfaf9" w:val="clear"/>
          </w:tcPr>
          <w:p w:rsidR="00000000" w:rsidDel="00000000" w:rsidP="00000000" w:rsidRDefault="00000000" w:rsidRPr="00000000" w14:paraId="0000000C">
            <w:pPr>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0D">
            <w:pPr>
              <w:numPr>
                <w:ilvl w:val="0"/>
                <w:numId w:val="2"/>
              </w:numPr>
              <w:ind w:left="720" w:hanging="360"/>
              <w:rPr>
                <w:rFonts w:ascii="Inter" w:cs="Inter" w:eastAsia="Inter" w:hAnsi="Inter"/>
                <w:color w:val="1b1739"/>
              </w:rPr>
            </w:pPr>
            <w:r w:rsidDel="00000000" w:rsidR="00000000" w:rsidRPr="00000000">
              <w:rPr>
                <w:rFonts w:ascii="Inter" w:cs="Inter" w:eastAsia="Inter" w:hAnsi="Inter"/>
                <w:color w:val="1b1739"/>
                <w:rtl w:val="0"/>
              </w:rPr>
              <w:t xml:space="preserve">You can add or remove sections, change the wording, and add your own logo and branding.</w:t>
            </w:r>
          </w:p>
        </w:tc>
        <w:tc>
          <w:tcPr>
            <w:shd w:fill="fbfaf9" w:val="clear"/>
          </w:tcPr>
          <w:p w:rsidR="00000000" w:rsidDel="00000000" w:rsidP="00000000" w:rsidRDefault="00000000" w:rsidRPr="00000000" w14:paraId="0000000E">
            <w:pPr>
              <w:rPr>
                <w:rFonts w:ascii="Inter" w:cs="Inter" w:eastAsia="Inter" w:hAnsi="Inter"/>
                <w:color w:val="1b1739"/>
              </w:rPr>
            </w:pPr>
            <w:r w:rsidDel="00000000" w:rsidR="00000000" w:rsidRPr="00000000">
              <w:rPr>
                <w:rtl w:val="0"/>
              </w:rPr>
            </w:r>
          </w:p>
        </w:tc>
      </w:tr>
      <w:tr>
        <w:trPr>
          <w:cantSplit w:val="0"/>
          <w:trHeight w:val="912" w:hRule="atLeast"/>
          <w:tblHeader w:val="0"/>
        </w:trPr>
        <w:tc>
          <w:tcPr>
            <w:shd w:fill="fbfaf9" w:val="clear"/>
          </w:tcPr>
          <w:p w:rsidR="00000000" w:rsidDel="00000000" w:rsidP="00000000" w:rsidRDefault="00000000" w:rsidRPr="00000000" w14:paraId="0000000F">
            <w:pPr>
              <w:spacing w:after="240" w:lineRule="auto"/>
              <w:rPr>
                <w:rFonts w:ascii="Inter" w:cs="Inter" w:eastAsia="Inter" w:hAnsi="Inter"/>
                <w:color w:val="1b1739"/>
                <w:highlight w:val="cyan"/>
              </w:rPr>
            </w:pPr>
            <w:r w:rsidDel="00000000" w:rsidR="00000000" w:rsidRPr="00000000">
              <w:rPr>
                <w:rtl w:val="0"/>
              </w:rPr>
            </w:r>
          </w:p>
        </w:tc>
        <w:tc>
          <w:tcPr>
            <w:shd w:fill="fbfaf9" w:val="clear"/>
          </w:tcPr>
          <w:p w:rsidR="00000000" w:rsidDel="00000000" w:rsidP="00000000" w:rsidRDefault="00000000" w:rsidRPr="00000000" w14:paraId="00000010">
            <w:pPr>
              <w:numPr>
                <w:ilvl w:val="0"/>
                <w:numId w:val="2"/>
              </w:numPr>
              <w:spacing w:after="240" w:lineRule="auto"/>
              <w:ind w:left="720" w:hanging="360"/>
              <w:rPr>
                <w:rFonts w:ascii="Inter" w:cs="Inter" w:eastAsia="Inter" w:hAnsi="Inter"/>
                <w:color w:val="1b1739"/>
              </w:rPr>
            </w:pPr>
            <w:r w:rsidDel="00000000" w:rsidR="00000000" w:rsidRPr="00000000">
              <w:rPr>
                <w:rFonts w:ascii="Inter" w:cs="Inter" w:eastAsia="Inter" w:hAnsi="Inter"/>
                <w:color w:val="1b1739"/>
                <w:rtl w:val="0"/>
              </w:rPr>
              <w:t xml:space="preserve">Stay up-to-date with your templates. Data protection and information security regulations are evolving rapidly, so it's crucial to keep your templates current.</w:t>
            </w:r>
          </w:p>
        </w:tc>
        <w:tc>
          <w:tcPr>
            <w:shd w:fill="fbfaf9" w:val="clear"/>
          </w:tcPr>
          <w:p w:rsidR="00000000" w:rsidDel="00000000" w:rsidP="00000000" w:rsidRDefault="00000000" w:rsidRPr="00000000" w14:paraId="00000011">
            <w:pPr>
              <w:spacing w:after="240" w:lineRule="auto"/>
              <w:rPr>
                <w:rFonts w:ascii="Inter" w:cs="Inter" w:eastAsia="Inter" w:hAnsi="Inter"/>
                <w:color w:val="1b1739"/>
              </w:rPr>
            </w:pPr>
            <w:r w:rsidDel="00000000" w:rsidR="00000000" w:rsidRPr="00000000">
              <w:rPr>
                <w:rtl w:val="0"/>
              </w:rPr>
            </w:r>
          </w:p>
        </w:tc>
      </w:tr>
      <w:tr>
        <w:trPr>
          <w:cantSplit w:val="0"/>
          <w:trHeight w:val="1140" w:hRule="atLeast"/>
          <w:tblHeader w:val="0"/>
        </w:trPr>
        <w:tc>
          <w:tcPr>
            <w:shd w:fill="fbfaf9" w:val="clear"/>
          </w:tcPr>
          <w:p w:rsidR="00000000" w:rsidDel="00000000" w:rsidP="00000000" w:rsidRDefault="00000000" w:rsidRPr="00000000" w14:paraId="00000012">
            <w:pPr>
              <w:spacing w:after="240" w:before="240" w:lineRule="auto"/>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13">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Should you have any inquiries concerning the templates, please feel free to contact us.</w:t>
            </w:r>
          </w:p>
        </w:tc>
        <w:tc>
          <w:tcPr>
            <w:shd w:fill="fbfaf9" w:val="clear"/>
          </w:tcPr>
          <w:p w:rsidR="00000000" w:rsidDel="00000000" w:rsidP="00000000" w:rsidRDefault="00000000" w:rsidRPr="00000000" w14:paraId="00000014">
            <w:pPr>
              <w:spacing w:after="240" w:before="240" w:lineRule="auto"/>
              <w:rPr>
                <w:rFonts w:ascii="Inter" w:cs="Inter" w:eastAsia="Inter" w:hAnsi="Inter"/>
                <w:color w:val="1b1739"/>
              </w:rPr>
            </w:pPr>
            <w:r w:rsidDel="00000000" w:rsidR="00000000" w:rsidRPr="00000000">
              <w:rPr>
                <w:rtl w:val="0"/>
              </w:rPr>
            </w:r>
          </w:p>
        </w:tc>
      </w:tr>
    </w:tbl>
    <w:p w:rsidR="00000000" w:rsidDel="00000000" w:rsidP="00000000" w:rsidRDefault="00000000" w:rsidRPr="00000000" w14:paraId="00000015">
      <w:pPr>
        <w:rPr>
          <w:rFonts w:ascii="Inter" w:cs="Inter" w:eastAsia="Inter" w:hAnsi="Inter"/>
          <w:color w:val="1b1739"/>
        </w:rPr>
      </w:pPr>
      <w:r w:rsidDel="00000000" w:rsidR="00000000" w:rsidRPr="00000000">
        <w:br w:type="page"/>
      </w:r>
      <w:r w:rsidDel="00000000" w:rsidR="00000000" w:rsidRPr="00000000">
        <w:rPr>
          <w:rtl w:val="0"/>
        </w:rPr>
      </w:r>
    </w:p>
    <w:p w:rsidR="00000000" w:rsidDel="00000000" w:rsidP="00000000" w:rsidRDefault="00000000" w:rsidRPr="00000000" w14:paraId="00000016">
      <w:pPr>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Policy for handling of personal data breaches </w:t>
      </w:r>
    </w:p>
    <w:p w:rsidR="00000000" w:rsidDel="00000000" w:rsidP="00000000" w:rsidRDefault="00000000" w:rsidRPr="00000000" w14:paraId="00000017">
      <w:pPr>
        <w:rPr>
          <w:rFonts w:ascii="Open Sans" w:cs="Open Sans" w:eastAsia="Open Sans" w:hAnsi="Open Sans"/>
        </w:rPr>
      </w:pPr>
      <w:r w:rsidDel="00000000" w:rsidR="00000000" w:rsidRPr="00000000">
        <w:rPr>
          <w:rtl w:val="0"/>
        </w:rPr>
      </w:r>
    </w:p>
    <w:p w:rsidR="00000000" w:rsidDel="00000000" w:rsidP="00000000" w:rsidRDefault="00000000" w:rsidRPr="00000000" w14:paraId="00000018">
      <w:pPr>
        <w:rPr>
          <w:rFonts w:ascii="Open Sans" w:cs="Open Sans" w:eastAsia="Open Sans" w:hAnsi="Open Sans"/>
        </w:rPr>
      </w:pPr>
      <w:r w:rsidDel="00000000" w:rsidR="00000000" w:rsidRPr="00000000">
        <w:rPr>
          <w:rtl w:val="0"/>
        </w:rPr>
      </w:r>
    </w:p>
    <w:p w:rsidR="00000000" w:rsidDel="00000000" w:rsidP="00000000" w:rsidRDefault="00000000" w:rsidRPr="00000000" w14:paraId="00000019">
      <w:pPr>
        <w:rPr>
          <w:rFonts w:ascii="Open Sans" w:cs="Open Sans" w:eastAsia="Open Sans" w:hAnsi="Open Sans"/>
        </w:rPr>
      </w:pPr>
      <w:r w:rsidDel="00000000" w:rsidR="00000000" w:rsidRPr="00000000">
        <w:rPr>
          <w:rFonts w:ascii="Open Sans" w:cs="Open Sans" w:eastAsia="Open Sans" w:hAnsi="Open Sans"/>
          <w:b w:val="1"/>
          <w:rtl w:val="0"/>
        </w:rPr>
        <w:t xml:space="preserve">1. Definition of a personal data breach</w:t>
      </w:r>
      <w:r w:rsidDel="00000000" w:rsidR="00000000" w:rsidRPr="00000000">
        <w:rPr>
          <w:rtl w:val="0"/>
        </w:rPr>
      </w:r>
    </w:p>
    <w:p w:rsidR="00000000" w:rsidDel="00000000" w:rsidP="00000000" w:rsidRDefault="00000000" w:rsidRPr="00000000" w14:paraId="0000001A">
      <w:pPr>
        <w:rPr>
          <w:rFonts w:ascii="Open Sans" w:cs="Open Sans" w:eastAsia="Open Sans" w:hAnsi="Open Sans"/>
        </w:rPr>
      </w:pPr>
      <w:r w:rsidDel="00000000" w:rsidR="00000000" w:rsidRPr="00000000">
        <w:rPr>
          <w:rFonts w:ascii="Open Sans" w:cs="Open Sans" w:eastAsia="Open Sans" w:hAnsi="Open Sans"/>
          <w:rtl w:val="0"/>
        </w:rPr>
        <w:t xml:space="preserve">A personal data breach is defined as a breach of security leading to the accidental or unlawful destruction, loss, alteration, unauthorized disclosure of, or access to, personal data transmitted, stored, or otherwise processed.   </w:t>
      </w:r>
    </w:p>
    <w:p w:rsidR="00000000" w:rsidDel="00000000" w:rsidP="00000000" w:rsidRDefault="00000000" w:rsidRPr="00000000" w14:paraId="0000001B">
      <w:pPr>
        <w:rPr>
          <w:rFonts w:ascii="Open Sans" w:cs="Open Sans" w:eastAsia="Open Sans" w:hAnsi="Open Sans"/>
        </w:rPr>
      </w:pPr>
      <w:r w:rsidDel="00000000" w:rsidR="00000000" w:rsidRPr="00000000">
        <w:rPr>
          <w:rtl w:val="0"/>
        </w:rPr>
      </w:r>
    </w:p>
    <w:p w:rsidR="00000000" w:rsidDel="00000000" w:rsidP="00000000" w:rsidRDefault="00000000" w:rsidRPr="00000000" w14:paraId="0000001C">
      <w:pPr>
        <w:rPr>
          <w:rFonts w:ascii="Open Sans" w:cs="Open Sans" w:eastAsia="Open Sans" w:hAnsi="Open Sans"/>
        </w:rPr>
      </w:pPr>
      <w:r w:rsidDel="00000000" w:rsidR="00000000" w:rsidRPr="00000000">
        <w:rPr>
          <w:rFonts w:ascii="Open Sans" w:cs="Open Sans" w:eastAsia="Open Sans" w:hAnsi="Open Sans"/>
          <w:rtl w:val="0"/>
        </w:rPr>
        <w:t xml:space="preserve">A personal data breach can occur in various ways, such as:</w:t>
      </w:r>
    </w:p>
    <w:p w:rsidR="00000000" w:rsidDel="00000000" w:rsidP="00000000" w:rsidRDefault="00000000" w:rsidRPr="00000000" w14:paraId="0000001D">
      <w:pPr>
        <w:rPr>
          <w:rFonts w:ascii="Open Sans" w:cs="Open Sans" w:eastAsia="Open Sans" w:hAnsi="Open Sans"/>
        </w:rPr>
      </w:pPr>
      <w:r w:rsidDel="00000000" w:rsidR="00000000" w:rsidRPr="00000000">
        <w:rPr>
          <w:rtl w:val="0"/>
        </w:rPr>
      </w:r>
    </w:p>
    <w:p w:rsidR="00000000" w:rsidDel="00000000" w:rsidP="00000000" w:rsidRDefault="00000000" w:rsidRPr="00000000" w14:paraId="0000001E">
      <w:pPr>
        <w:numPr>
          <w:ilvl w:val="0"/>
          <w:numId w:val="1"/>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Unauthorized access to personal data by individuals not authorized to access such data. Unauthorized individuals can be both external and internal to the data controller.</w:t>
      </w:r>
    </w:p>
    <w:p w:rsidR="00000000" w:rsidDel="00000000" w:rsidP="00000000" w:rsidRDefault="00000000" w:rsidRPr="00000000" w14:paraId="0000001F">
      <w:pPr>
        <w:numPr>
          <w:ilvl w:val="0"/>
          <w:numId w:val="1"/>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Deletion or alteration of personal data (even if accidental).</w:t>
      </w:r>
    </w:p>
    <w:p w:rsidR="00000000" w:rsidDel="00000000" w:rsidP="00000000" w:rsidRDefault="00000000" w:rsidRPr="00000000" w14:paraId="00000020">
      <w:pPr>
        <w:numPr>
          <w:ilvl w:val="0"/>
          <w:numId w:val="1"/>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Unauthorized access to the data controller's systems by hackers, resulting in access to personal data.</w:t>
      </w:r>
    </w:p>
    <w:p w:rsidR="00000000" w:rsidDel="00000000" w:rsidP="00000000" w:rsidRDefault="00000000" w:rsidRPr="00000000" w14:paraId="00000021">
      <w:pPr>
        <w:numPr>
          <w:ilvl w:val="0"/>
          <w:numId w:val="1"/>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Disclosure of personal data to unauthorized individuals (both intentional and unintentional).</w:t>
      </w:r>
    </w:p>
    <w:p w:rsidR="00000000" w:rsidDel="00000000" w:rsidP="00000000" w:rsidRDefault="00000000" w:rsidRPr="00000000" w14:paraId="00000022">
      <w:pPr>
        <w:rPr>
          <w:rFonts w:ascii="Open Sans" w:cs="Open Sans" w:eastAsia="Open Sans" w:hAnsi="Open Sans"/>
        </w:rPr>
      </w:pPr>
      <w:r w:rsidDel="00000000" w:rsidR="00000000" w:rsidRPr="00000000">
        <w:rPr>
          <w:rtl w:val="0"/>
        </w:rPr>
      </w:r>
    </w:p>
    <w:p w:rsidR="00000000" w:rsidDel="00000000" w:rsidP="00000000" w:rsidRDefault="00000000" w:rsidRPr="00000000" w14:paraId="00000023">
      <w:pPr>
        <w:rPr>
          <w:rFonts w:ascii="Open Sans" w:cs="Open Sans" w:eastAsia="Open Sans" w:hAnsi="Open Sans"/>
        </w:rPr>
      </w:pPr>
      <w:r w:rsidDel="00000000" w:rsidR="00000000" w:rsidRPr="00000000">
        <w:rPr>
          <w:rFonts w:ascii="Open Sans" w:cs="Open Sans" w:eastAsia="Open Sans" w:hAnsi="Open Sans"/>
          <w:rtl w:val="0"/>
        </w:rPr>
        <w:t xml:space="preserve">If a personal data breach is detected or suspected, it is crucial to respond immediately. The quicker the response, the faster the data breach can be stopped (or completely prevented), thereby minimizing potential risks and consequences.</w:t>
      </w:r>
    </w:p>
    <w:p w:rsidR="00000000" w:rsidDel="00000000" w:rsidP="00000000" w:rsidRDefault="00000000" w:rsidRPr="00000000" w14:paraId="00000024">
      <w:pPr>
        <w:rPr>
          <w:rFonts w:ascii="Open Sans" w:cs="Open Sans" w:eastAsia="Open Sans" w:hAnsi="Open Sans"/>
        </w:rPr>
      </w:pPr>
      <w:r w:rsidDel="00000000" w:rsidR="00000000" w:rsidRPr="00000000">
        <w:rPr>
          <w:rtl w:val="0"/>
        </w:rPr>
      </w:r>
    </w:p>
    <w:p w:rsidR="00000000" w:rsidDel="00000000" w:rsidP="00000000" w:rsidRDefault="00000000" w:rsidRPr="00000000" w14:paraId="00000025">
      <w:pPr>
        <w:rPr>
          <w:rFonts w:ascii="Open Sans" w:cs="Open Sans" w:eastAsia="Open Sans" w:hAnsi="Open Sans"/>
        </w:rPr>
      </w:pPr>
      <w:r w:rsidDel="00000000" w:rsidR="00000000" w:rsidRPr="00000000">
        <w:rPr>
          <w:rtl w:val="0"/>
        </w:rPr>
      </w:r>
    </w:p>
    <w:p w:rsidR="00000000" w:rsidDel="00000000" w:rsidP="00000000" w:rsidRDefault="00000000" w:rsidRPr="00000000" w14:paraId="00000026">
      <w:pPr>
        <w:rPr>
          <w:rFonts w:ascii="Open Sans" w:cs="Open Sans" w:eastAsia="Open Sans" w:hAnsi="Open Sans"/>
        </w:rPr>
      </w:pPr>
      <w:r w:rsidDel="00000000" w:rsidR="00000000" w:rsidRPr="00000000">
        <w:rPr>
          <w:rFonts w:ascii="Open Sans" w:cs="Open Sans" w:eastAsia="Open Sans" w:hAnsi="Open Sans"/>
          <w:b w:val="1"/>
          <w:rtl w:val="0"/>
        </w:rPr>
        <w:t xml:space="preserve">2. Assessment of a Personal Data Breach</w:t>
      </w:r>
      <w:r w:rsidDel="00000000" w:rsidR="00000000" w:rsidRPr="00000000">
        <w:rPr>
          <w:rtl w:val="0"/>
        </w:rPr>
      </w:r>
    </w:p>
    <w:p w:rsidR="00000000" w:rsidDel="00000000" w:rsidP="00000000" w:rsidRDefault="00000000" w:rsidRPr="00000000" w14:paraId="00000027">
      <w:pPr>
        <w:rPr>
          <w:rFonts w:ascii="Open Sans" w:cs="Open Sans" w:eastAsia="Open Sans" w:hAnsi="Open Sans"/>
        </w:rPr>
      </w:pPr>
      <w:r w:rsidDel="00000000" w:rsidR="00000000" w:rsidRPr="00000000">
        <w:rPr>
          <w:rFonts w:ascii="Open Sans" w:cs="Open Sans" w:eastAsia="Open Sans" w:hAnsi="Open Sans"/>
          <w:rtl w:val="0"/>
        </w:rPr>
        <w:t xml:space="preserve">As a general rule, all personal data breaches must be reported to the </w:t>
      </w:r>
      <w:r w:rsidDel="00000000" w:rsidR="00000000" w:rsidRPr="00000000">
        <w:rPr>
          <w:rFonts w:ascii="Open Sans" w:cs="Open Sans" w:eastAsia="Open Sans" w:hAnsi="Open Sans"/>
          <w:i w:val="1"/>
          <w:rtl w:val="0"/>
        </w:rPr>
        <w:t xml:space="preserve">[insert relevant data protection authority]</w:t>
      </w:r>
      <w:r w:rsidDel="00000000" w:rsidR="00000000" w:rsidRPr="00000000">
        <w:rPr>
          <w:rFonts w:ascii="Open Sans" w:cs="Open Sans" w:eastAsia="Open Sans" w:hAnsi="Open Sans"/>
          <w:rtl w:val="0"/>
        </w:rPr>
        <w:t xml:space="preserve"> within 72 hours. A notification is only exempt if the breach is unlikely to pose a risk to the rights and freedoms of natural persons.</w:t>
      </w:r>
    </w:p>
    <w:p w:rsidR="00000000" w:rsidDel="00000000" w:rsidP="00000000" w:rsidRDefault="00000000" w:rsidRPr="00000000" w14:paraId="00000028">
      <w:pPr>
        <w:rPr>
          <w:rFonts w:ascii="Open Sans" w:cs="Open Sans" w:eastAsia="Open Sans" w:hAnsi="Open Sans"/>
        </w:rPr>
      </w:pPr>
      <w:r w:rsidDel="00000000" w:rsidR="00000000" w:rsidRPr="00000000">
        <w:rPr>
          <w:rtl w:val="0"/>
        </w:rPr>
      </w:r>
    </w:p>
    <w:p w:rsidR="00000000" w:rsidDel="00000000" w:rsidP="00000000" w:rsidRDefault="00000000" w:rsidRPr="00000000" w14:paraId="00000029">
      <w:pPr>
        <w:rPr>
          <w:rFonts w:ascii="Open Sans" w:cs="Open Sans" w:eastAsia="Open Sans" w:hAnsi="Open Sans"/>
        </w:rPr>
      </w:pPr>
      <w:r w:rsidDel="00000000" w:rsidR="00000000" w:rsidRPr="00000000">
        <w:rPr>
          <w:rFonts w:ascii="Open Sans" w:cs="Open Sans" w:eastAsia="Open Sans" w:hAnsi="Open Sans"/>
          <w:rtl w:val="0"/>
        </w:rPr>
        <w:t xml:space="preserve">If you, as an employee, discover or suspect a personal data breach, you must immediately notify </w:t>
      </w:r>
      <w:r w:rsidDel="00000000" w:rsidR="00000000" w:rsidRPr="00000000">
        <w:rPr>
          <w:rFonts w:ascii="Open Sans" w:cs="Open Sans" w:eastAsia="Open Sans" w:hAnsi="Open Sans"/>
          <w:i w:val="1"/>
          <w:rtl w:val="0"/>
        </w:rPr>
        <w:t xml:space="preserve">[insert relevant person in the company]</w:t>
      </w:r>
      <w:r w:rsidDel="00000000" w:rsidR="00000000" w:rsidRPr="00000000">
        <w:rPr>
          <w:rFonts w:ascii="Open Sans" w:cs="Open Sans" w:eastAsia="Open Sans" w:hAnsi="Open Sans"/>
          <w:rtl w:val="0"/>
        </w:rPr>
        <w:t xml:space="preserve"> by email or phone, who will assess and handle the breach.</w:t>
      </w:r>
    </w:p>
    <w:p w:rsidR="00000000" w:rsidDel="00000000" w:rsidP="00000000" w:rsidRDefault="00000000" w:rsidRPr="00000000" w14:paraId="0000002A">
      <w:pPr>
        <w:rPr>
          <w:rFonts w:ascii="Open Sans" w:cs="Open Sans" w:eastAsia="Open Sans" w:hAnsi="Open Sans"/>
        </w:rPr>
      </w:pPr>
      <w:r w:rsidDel="00000000" w:rsidR="00000000" w:rsidRPr="00000000">
        <w:rPr>
          <w:rtl w:val="0"/>
        </w:rPr>
      </w:r>
    </w:p>
    <w:p w:rsidR="00000000" w:rsidDel="00000000" w:rsidP="00000000" w:rsidRDefault="00000000" w:rsidRPr="00000000" w14:paraId="0000002B">
      <w:pPr>
        <w:rPr>
          <w:rFonts w:ascii="Open Sans" w:cs="Open Sans" w:eastAsia="Open Sans" w:hAnsi="Open Sans"/>
        </w:rPr>
      </w:pPr>
      <w:r w:rsidDel="00000000" w:rsidR="00000000" w:rsidRPr="00000000">
        <w:rPr>
          <w:rtl w:val="0"/>
        </w:rPr>
      </w:r>
    </w:p>
    <w:p w:rsidR="00000000" w:rsidDel="00000000" w:rsidP="00000000" w:rsidRDefault="00000000" w:rsidRPr="00000000" w14:paraId="0000002C">
      <w:pPr>
        <w:rPr>
          <w:rFonts w:ascii="Open Sans" w:cs="Open Sans" w:eastAsia="Open Sans" w:hAnsi="Open Sans"/>
          <w:b w:val="1"/>
        </w:rPr>
      </w:pPr>
      <w:r w:rsidDel="00000000" w:rsidR="00000000" w:rsidRPr="00000000">
        <w:rPr>
          <w:rFonts w:ascii="Open Sans" w:cs="Open Sans" w:eastAsia="Open Sans" w:hAnsi="Open Sans"/>
          <w:b w:val="1"/>
          <w:rtl w:val="0"/>
        </w:rPr>
        <w:t xml:space="preserve">3. Internal Documentation</w:t>
      </w:r>
    </w:p>
    <w:p w:rsidR="00000000" w:rsidDel="00000000" w:rsidP="00000000" w:rsidRDefault="00000000" w:rsidRPr="00000000" w14:paraId="0000002D">
      <w:pPr>
        <w:rPr>
          <w:rFonts w:ascii="Open Sans" w:cs="Open Sans" w:eastAsia="Open Sans" w:hAnsi="Open Sans"/>
        </w:rPr>
      </w:pPr>
      <w:r w:rsidDel="00000000" w:rsidR="00000000" w:rsidRPr="00000000">
        <w:rPr>
          <w:rFonts w:ascii="Open Sans" w:cs="Open Sans" w:eastAsia="Open Sans" w:hAnsi="Open Sans"/>
          <w:rtl w:val="0"/>
        </w:rPr>
        <w:t xml:space="preserve">Regardless of whether a personal data breach is reported to the</w:t>
      </w:r>
      <w:r w:rsidDel="00000000" w:rsidR="00000000" w:rsidRPr="00000000">
        <w:rPr>
          <w:rFonts w:ascii="Open Sans" w:cs="Open Sans" w:eastAsia="Open Sans" w:hAnsi="Open Sans"/>
          <w:i w:val="1"/>
          <w:rtl w:val="0"/>
        </w:rPr>
        <w:t xml:space="preserve">[insert relevant data protection authority]</w:t>
      </w:r>
      <w:r w:rsidDel="00000000" w:rsidR="00000000" w:rsidRPr="00000000">
        <w:rPr>
          <w:rFonts w:ascii="Open Sans" w:cs="Open Sans" w:eastAsia="Open Sans" w:hAnsi="Open Sans"/>
          <w:rtl w:val="0"/>
        </w:rPr>
        <w:t xml:space="preserve">, the actual circumstances must be documented internally. This is documented in the incident log.</w:t>
      </w:r>
    </w:p>
    <w:p w:rsidR="00000000" w:rsidDel="00000000" w:rsidP="00000000" w:rsidRDefault="00000000" w:rsidRPr="00000000" w14:paraId="0000002E">
      <w:pPr>
        <w:rPr>
          <w:rFonts w:ascii="Open Sans" w:cs="Open Sans" w:eastAsia="Open Sans" w:hAnsi="Open Sans"/>
        </w:rPr>
      </w:pPr>
      <w:r w:rsidDel="00000000" w:rsidR="00000000" w:rsidRPr="00000000">
        <w:rPr>
          <w:rtl w:val="0"/>
        </w:rPr>
      </w:r>
    </w:p>
    <w:p w:rsidR="00000000" w:rsidDel="00000000" w:rsidP="00000000" w:rsidRDefault="00000000" w:rsidRPr="00000000" w14:paraId="0000002F">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0">
      <w:pPr>
        <w:rPr>
          <w:rFonts w:ascii="Open Sans" w:cs="Open Sans" w:eastAsia="Open Sans" w:hAnsi="Open Sans"/>
          <w:b w:val="1"/>
        </w:rPr>
      </w:pPr>
      <w:r w:rsidDel="00000000" w:rsidR="00000000" w:rsidRPr="00000000">
        <w:rPr>
          <w:rFonts w:ascii="Open Sans" w:cs="Open Sans" w:eastAsia="Open Sans" w:hAnsi="Open Sans"/>
          <w:b w:val="1"/>
          <w:rtl w:val="0"/>
        </w:rPr>
        <w:t xml:space="preserve">4. Procedure for Handling Personal Data Breaches</w:t>
      </w:r>
    </w:p>
    <w:p w:rsidR="00000000" w:rsidDel="00000000" w:rsidP="00000000" w:rsidRDefault="00000000" w:rsidRPr="00000000" w14:paraId="00000031">
      <w:pPr>
        <w:rPr>
          <w:rFonts w:ascii="Open Sans" w:cs="Open Sans" w:eastAsia="Open Sans" w:hAnsi="Open Sans"/>
        </w:rPr>
      </w:pPr>
      <w:r w:rsidDel="00000000" w:rsidR="00000000" w:rsidRPr="00000000">
        <w:rPr>
          <w:rFonts w:ascii="Open Sans" w:cs="Open Sans" w:eastAsia="Open Sans" w:hAnsi="Open Sans"/>
          <w:rtl w:val="0"/>
        </w:rPr>
        <w:t xml:space="preserve">A procedure for handling personal data breaches has been developed, which outlines the specific steps the company must go through when a personal data breach has been detected.</w:t>
      </w:r>
    </w:p>
    <w:p w:rsidR="00000000" w:rsidDel="00000000" w:rsidP="00000000" w:rsidRDefault="00000000" w:rsidRPr="00000000" w14:paraId="00000032">
      <w:pPr>
        <w:rPr>
          <w:rFonts w:ascii="Open Sans" w:cs="Open Sans" w:eastAsia="Open Sans" w:hAnsi="Open Sans"/>
        </w:rPr>
      </w:pPr>
      <w:r w:rsidDel="00000000" w:rsidR="00000000" w:rsidRPr="00000000">
        <w:rPr>
          <w:rtl w:val="0"/>
        </w:rPr>
      </w:r>
    </w:p>
    <w:sdt>
      <w:sdtPr>
        <w:lock w:val="contentLocked"/>
        <w:tag w:val="goog_rdk_0"/>
      </w:sdtPr>
      <w:sdtContent>
        <w:tbl>
          <w:tblPr>
            <w:tblStyle w:val="Table3"/>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rHeight w:val="810" w:hRule="atLeast"/>
              <w:tblHeader w:val="0"/>
            </w:trPr>
            <w:tc>
              <w:tcPr>
                <w:tcBorders>
                  <w:top w:color="e5eff1" w:space="0" w:sz="4" w:val="single"/>
                  <w:left w:color="e5eff1" w:space="0" w:sz="4" w:val="single"/>
                  <w:bottom w:color="e5eff1" w:space="0" w:sz="4" w:val="single"/>
                  <w:right w:color="e5eff1" w:space="0" w:sz="4" w:val="single"/>
                </w:tcBorders>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33">
                <w:pPr>
                  <w:rPr>
                    <w:rFonts w:ascii="Open Sans" w:cs="Open Sans" w:eastAsia="Open Sans" w:hAnsi="Open Sans"/>
                  </w:rPr>
                </w:pPr>
                <w:r w:rsidDel="00000000" w:rsidR="00000000" w:rsidRPr="00000000">
                  <w:rPr>
                    <w:rFonts w:ascii="Open Sans" w:cs="Open Sans" w:eastAsia="Open Sans" w:hAnsi="Open Sans"/>
                    <w:rtl w:val="0"/>
                  </w:rPr>
                  <w:t xml:space="preserve">Wired Relations has prepared a template for a procedure for handling security breaches, which can be used if desired.</w:t>
                </w:r>
              </w:p>
            </w:tc>
          </w:tr>
        </w:tbl>
      </w:sdtContent>
    </w:sdt>
    <w:p w:rsidR="00000000" w:rsidDel="00000000" w:rsidP="00000000" w:rsidRDefault="00000000" w:rsidRPr="00000000" w14:paraId="00000034">
      <w:pPr>
        <w:rPr>
          <w:rFonts w:ascii="Open Sans" w:cs="Open Sans" w:eastAsia="Open Sans" w:hAnsi="Open Sans"/>
        </w:rPr>
      </w:pPr>
      <w:r w:rsidDel="00000000" w:rsidR="00000000" w:rsidRPr="00000000">
        <w:rPr>
          <w:rtl w:val="0"/>
        </w:rPr>
      </w:r>
    </w:p>
    <w:p w:rsidR="00000000" w:rsidDel="00000000" w:rsidP="00000000" w:rsidRDefault="00000000" w:rsidRPr="00000000" w14:paraId="00000035">
      <w:pPr>
        <w:rPr>
          <w:rFonts w:ascii="Open Sans" w:cs="Open Sans" w:eastAsia="Open Sans" w:hAnsi="Open Sans"/>
        </w:rPr>
      </w:pPr>
      <w:r w:rsidDel="00000000" w:rsidR="00000000" w:rsidRPr="00000000">
        <w:rPr>
          <w:rtl w:val="0"/>
        </w:rPr>
      </w:r>
    </w:p>
    <w:p w:rsidR="00000000" w:rsidDel="00000000" w:rsidP="00000000" w:rsidRDefault="00000000" w:rsidRPr="00000000" w14:paraId="00000036">
      <w:pPr>
        <w:rPr>
          <w:rFonts w:ascii="Open Sans" w:cs="Open Sans" w:eastAsia="Open Sans" w:hAnsi="Open Sans"/>
        </w:rPr>
      </w:pPr>
      <w:r w:rsidDel="00000000" w:rsidR="00000000" w:rsidRPr="00000000">
        <w:rPr>
          <w:rtl w:val="0"/>
        </w:rPr>
      </w:r>
    </w:p>
    <w:tbl>
      <w:tblPr>
        <w:tblStyle w:val="Table4"/>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rHeight w:val="1965.6005859375" w:hRule="atLeast"/>
          <w:tblHeader w:val="0"/>
        </w:trPr>
        <w:tc>
          <w:tcPr>
            <w:tcBorders>
              <w:top w:color="e5eff1" w:space="0" w:sz="4" w:val="single"/>
              <w:left w:color="e5eff1" w:space="0" w:sz="4" w:val="single"/>
              <w:bottom w:color="e5eff1" w:space="0" w:sz="4" w:val="single"/>
              <w:right w:color="e5eff1" w:space="0" w:sz="4" w:val="single"/>
            </w:tcBorders>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37">
            <w:pPr>
              <w:rPr>
                <w:rFonts w:ascii="Open Sans" w:cs="Open Sans" w:eastAsia="Open Sans" w:hAnsi="Open Sans"/>
                <w:b w:val="1"/>
              </w:rPr>
            </w:pPr>
            <w:r w:rsidDel="00000000" w:rsidR="00000000" w:rsidRPr="00000000">
              <w:rPr>
                <w:rFonts w:ascii="Open Sans" w:cs="Open Sans" w:eastAsia="Open Sans" w:hAnsi="Open Sans"/>
                <w:b w:val="1"/>
                <w:rtl w:val="0"/>
              </w:rPr>
              <w:t xml:space="preserve">Specifically Regarding </w:t>
            </w:r>
            <w:r w:rsidDel="00000000" w:rsidR="00000000" w:rsidRPr="00000000">
              <w:rPr>
                <w:rFonts w:ascii="Open Sans" w:cs="Open Sans" w:eastAsia="Open Sans" w:hAnsi="Open Sans"/>
                <w:b w:val="1"/>
                <w:i w:val="1"/>
                <w:rtl w:val="0"/>
              </w:rPr>
              <w:t xml:space="preserve">[insert company's name]</w:t>
            </w:r>
            <w:r w:rsidDel="00000000" w:rsidR="00000000" w:rsidRPr="00000000">
              <w:rPr>
                <w:rFonts w:ascii="Open Sans" w:cs="Open Sans" w:eastAsia="Open Sans" w:hAnsi="Open Sans"/>
                <w:b w:val="1"/>
                <w:rtl w:val="0"/>
              </w:rPr>
              <w:t xml:space="preserve"> Role as Data Processor</w:t>
            </w:r>
          </w:p>
          <w:p w:rsidR="00000000" w:rsidDel="00000000" w:rsidP="00000000" w:rsidRDefault="00000000" w:rsidRPr="00000000" w14:paraId="00000038">
            <w:pPr>
              <w:rPr>
                <w:rFonts w:ascii="Open Sans" w:cs="Open Sans" w:eastAsia="Open Sans" w:hAnsi="Open Sans"/>
                <w:b w:val="1"/>
              </w:rPr>
            </w:pPr>
            <w:r w:rsidDel="00000000" w:rsidR="00000000" w:rsidRPr="00000000">
              <w:rPr>
                <w:rFonts w:ascii="Open Sans" w:cs="Open Sans" w:eastAsia="Open Sans" w:hAnsi="Open Sans"/>
                <w:rtl w:val="0"/>
              </w:rPr>
              <w:t xml:space="preserve">If a personal data breach is detected that involves the data of </w:t>
            </w:r>
            <w:r w:rsidDel="00000000" w:rsidR="00000000" w:rsidRPr="00000000">
              <w:rPr>
                <w:rFonts w:ascii="Open Sans" w:cs="Open Sans" w:eastAsia="Open Sans" w:hAnsi="Open Sans"/>
                <w:i w:val="1"/>
                <w:rtl w:val="0"/>
              </w:rPr>
              <w:t xml:space="preserve">[insert company's name] </w:t>
            </w:r>
            <w:r w:rsidDel="00000000" w:rsidR="00000000" w:rsidRPr="00000000">
              <w:rPr>
                <w:rFonts w:ascii="Open Sans" w:cs="Open Sans" w:eastAsia="Open Sans" w:hAnsi="Open Sans"/>
                <w:rtl w:val="0"/>
              </w:rPr>
              <w:t xml:space="preserve">customers (the data controllers), the data controllers must be notified as soon as possible. </w:t>
            </w:r>
            <w:r w:rsidDel="00000000" w:rsidR="00000000" w:rsidRPr="00000000">
              <w:rPr>
                <w:rFonts w:ascii="Open Sans" w:cs="Open Sans" w:eastAsia="Open Sans" w:hAnsi="Open Sans"/>
                <w:i w:val="1"/>
                <w:rtl w:val="0"/>
              </w:rPr>
              <w:t xml:space="preserve">[insert company's name] </w:t>
            </w:r>
            <w:r w:rsidDel="00000000" w:rsidR="00000000" w:rsidRPr="00000000">
              <w:rPr>
                <w:rFonts w:ascii="Open Sans" w:cs="Open Sans" w:eastAsia="Open Sans" w:hAnsi="Open Sans"/>
                <w:rtl w:val="0"/>
              </w:rPr>
              <w:t xml:space="preserve">will also contribute to the data controller's assessment of the data breach.</w:t>
            </w:r>
            <w:r w:rsidDel="00000000" w:rsidR="00000000" w:rsidRPr="00000000">
              <w:rPr>
                <w:rtl w:val="0"/>
              </w:rPr>
            </w:r>
          </w:p>
        </w:tc>
      </w:tr>
    </w:tbl>
    <w:p w:rsidR="00000000" w:rsidDel="00000000" w:rsidP="00000000" w:rsidRDefault="00000000" w:rsidRPr="00000000" w14:paraId="00000039">
      <w:pPr>
        <w:rPr>
          <w:rFonts w:ascii="Open Sans" w:cs="Open Sans" w:eastAsia="Open Sans" w:hAnsi="Open Sans"/>
        </w:rPr>
      </w:pPr>
      <w:r w:rsidDel="00000000" w:rsidR="00000000" w:rsidRPr="00000000">
        <w:rPr>
          <w:rtl w:val="0"/>
        </w:rPr>
      </w:r>
    </w:p>
    <w:p w:rsidR="00000000" w:rsidDel="00000000" w:rsidP="00000000" w:rsidRDefault="00000000" w:rsidRPr="00000000" w14:paraId="0000003A">
      <w:pPr>
        <w:rPr>
          <w:rFonts w:ascii="Open Sans" w:cs="Open Sans" w:eastAsia="Open Sans" w:hAnsi="Open Sans"/>
        </w:rPr>
      </w:pPr>
      <w:r w:rsidDel="00000000" w:rsidR="00000000" w:rsidRPr="00000000">
        <w:rPr>
          <w:rtl w:val="0"/>
        </w:rPr>
      </w:r>
    </w:p>
    <w:p w:rsidR="00000000" w:rsidDel="00000000" w:rsidP="00000000" w:rsidRDefault="00000000" w:rsidRPr="00000000" w14:paraId="0000003B">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C">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D">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E">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F">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0">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1">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2">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3">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4">
      <w:pPr>
        <w:spacing w:before="40" w:lineRule="auto"/>
        <w:rPr>
          <w:rFonts w:ascii="Open Sans" w:cs="Open Sans" w:eastAsia="Open Sans" w:hAnsi="Open Sans"/>
        </w:rPr>
      </w:pPr>
      <w:r w:rsidDel="00000000" w:rsidR="00000000" w:rsidRPr="00000000">
        <w:rPr>
          <w:rFonts w:ascii="Open Sans" w:cs="Open Sans" w:eastAsia="Open Sans" w:hAnsi="Open Sans"/>
          <w:b w:val="1"/>
          <w:rtl w:val="0"/>
        </w:rPr>
        <w:t xml:space="preserve">Document information</w:t>
      </w:r>
      <w:r w:rsidDel="00000000" w:rsidR="00000000" w:rsidRPr="00000000">
        <w:rPr>
          <w:rFonts w:ascii="Open Sans" w:cs="Open Sans" w:eastAsia="Open Sans" w:hAnsi="Open Sans"/>
          <w:rtl w:val="0"/>
        </w:rPr>
        <w:br w:type="textWrapping"/>
      </w:r>
    </w:p>
    <w:sdt>
      <w:sdtPr>
        <w:lock w:val="contentLocked"/>
        <w:tag w:val="goog_rdk_1"/>
      </w:sdtPr>
      <w:sdtContent>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Document version</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rPr>
                    <w:rFonts w:ascii="Open Sans" w:cs="Open Sans" w:eastAsia="Open Sans" w:hAnsi="Open Sans"/>
                    <w:b w:val="1"/>
                    <w:color w:val="43434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Date of Issue for this version</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rPr>
                    <w:rFonts w:ascii="Open Sans" w:cs="Open Sans" w:eastAsia="Open Sans" w:hAnsi="Open Sans"/>
                    <w:b w:val="1"/>
                    <w:color w:val="43434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Responsible Person</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rPr>
                    <w:rFonts w:ascii="Open Sans" w:cs="Open Sans" w:eastAsia="Open Sans" w:hAnsi="Open Sans"/>
                    <w:b w:val="1"/>
                    <w:color w:val="43434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Status</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rPr>
                    <w:rFonts w:ascii="Open Sans" w:cs="Open Sans" w:eastAsia="Open Sans" w:hAnsi="Open Sans"/>
                    <w:b w:val="1"/>
                    <w:color w:val="434343"/>
                  </w:rPr>
                </w:pPr>
                <w:r w:rsidDel="00000000" w:rsidR="00000000" w:rsidRPr="00000000">
                  <w:rPr>
                    <w:rtl w:val="0"/>
                  </w:rPr>
                </w:r>
              </w:p>
            </w:tc>
          </w:tr>
        </w:tbl>
      </w:sdtContent>
    </w:sdt>
    <w:p w:rsidR="00000000" w:rsidDel="00000000" w:rsidP="00000000" w:rsidRDefault="00000000" w:rsidRPr="00000000" w14:paraId="0000004D">
      <w:pPr>
        <w:rPr>
          <w:rFonts w:ascii="Inter" w:cs="Inter" w:eastAsia="Inter" w:hAnsi="Inter"/>
        </w:rPr>
      </w:pPr>
      <w:r w:rsidDel="00000000" w:rsidR="00000000" w:rsidRPr="00000000">
        <w:rPr>
          <w:rtl w:val="0"/>
        </w:rPr>
      </w:r>
    </w:p>
    <w:sectPr>
      <w:headerReference r:id="rId7" w:type="first"/>
      <w:footerReference r:id="rId8" w:type="default"/>
      <w:foot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widowControl w:val="0"/>
      <w:rPr>
        <w:rFonts w:ascii="Open Sans" w:cs="Open Sans" w:eastAsia="Open Sans" w:hAnsi="Open Sans"/>
        <w:color w:val="666666"/>
        <w:sz w:val="16"/>
        <w:szCs w:val="16"/>
      </w:rPr>
    </w:pPr>
    <w:r w:rsidDel="00000000" w:rsidR="00000000" w:rsidRPr="00000000">
      <w:rPr>
        <w:rtl w:val="0"/>
      </w:rPr>
    </w:r>
  </w:p>
  <w:p w:rsidR="00000000" w:rsidDel="00000000" w:rsidP="00000000" w:rsidRDefault="00000000" w:rsidRPr="00000000" w14:paraId="00000050">
    <w:pPr>
      <w:widowControl w:val="0"/>
      <w:rPr/>
    </w:pPr>
    <w:r w:rsidDel="00000000" w:rsidR="00000000" w:rsidRPr="00000000">
      <w:rPr>
        <w:rFonts w:ascii="Open Sans" w:cs="Open Sans" w:eastAsia="Open Sans" w:hAnsi="Open Sans"/>
        <w:color w:val="666666"/>
        <w:sz w:val="16"/>
        <w:szCs w:val="16"/>
        <w:rtl w:val="0"/>
      </w:rPr>
      <w:t xml:space="preserve">* Wired Relations’ templates are for the use of the company only and may not be redistributed. The templates do not constitute legal advice and their use is the responsibility of the company.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widowControl w:val="0"/>
      <w:rPr>
        <w:rFonts w:ascii="Open Sans" w:cs="Open Sans" w:eastAsia="Open Sans" w:hAnsi="Open Sans"/>
        <w:color w:val="666666"/>
        <w:sz w:val="20"/>
        <w:szCs w:val="20"/>
      </w:rPr>
    </w:pPr>
    <w:r w:rsidDel="00000000" w:rsidR="00000000" w:rsidRPr="00000000">
      <w:rPr>
        <w:rFonts w:ascii="Open Sans" w:cs="Open Sans" w:eastAsia="Open Sans" w:hAnsi="Open Sans"/>
        <w:color w:val="666666"/>
        <w:sz w:val="16"/>
        <w:szCs w:val="16"/>
        <w:rtl w:val="0"/>
      </w:rPr>
      <w:t xml:space="preserve">* Wired Relations’ templates are for the use of the company only and may not be redistributed. The templates do not constitute legal advice and their use is the responsibility of the company.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jc w:val="righ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-753898</wp:posOffset>
          </wp:positionH>
          <wp:positionV relativeFrom="paragraph">
            <wp:posOffset>-457197</wp:posOffset>
          </wp:positionV>
          <wp:extent cx="7235499" cy="8492837"/>
          <wp:effectExtent b="0" l="0" r="0" t="0"/>
          <wp:wrapNone/>
          <wp:docPr descr="A black background with black lines&#10;&#10;Description automatically generated" id="7" name="image2.png"/>
          <a:graphic>
            <a:graphicData uri="http://schemas.openxmlformats.org/drawingml/2006/picture">
              <pic:pic>
                <pic:nvPicPr>
                  <pic:cNvPr descr="A black background with black lines&#10;&#10;Description automatically generated" id="0" name="image2.png"/>
                  <pic:cNvPicPr preferRelativeResize="0"/>
                </pic:nvPicPr>
                <pic:blipFill>
                  <a:blip r:embed="rId1"/>
                  <a:srcRect b="0" l="0" r="0" t="0"/>
                  <a:stretch>
                    <a:fillRect/>
                  </a:stretch>
                </pic:blipFill>
                <pic:spPr>
                  <a:xfrm>
                    <a:off x="0" y="0"/>
                    <a:ext cx="7235499" cy="849283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-508748</wp:posOffset>
          </wp:positionH>
          <wp:positionV relativeFrom="paragraph">
            <wp:posOffset>-90168</wp:posOffset>
          </wp:positionV>
          <wp:extent cx="925850" cy="266700"/>
          <wp:effectExtent b="0" l="0" r="0" t="0"/>
          <wp:wrapNone/>
          <wp:docPr id="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25850" cy="266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10"/>
        <w:szCs w:val="1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D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table" w:styleId="a2" w:customStyle="1">
    <w:basedOn w:val="TableNormal1"/>
    <w:tblPr>
      <w:tblStyleRowBandSize w:val="1"/>
      <w:tblStyleColBandSize w:val="1"/>
      <w:tblCellMar>
        <w:top w:w="100.0" w:type="dxa"/>
        <w:left w:w="100.0" w:type="dxa"/>
        <w:bottom w:w="100.0" w:type="dxa"/>
        <w:right w:w="100.0" w:type="dxa"/>
      </w:tblCellMar>
    </w:tblPr>
  </w:style>
  <w:style w:type="table" w:styleId="a3" w:customStyle="1">
    <w:basedOn w:val="TableNormal1"/>
    <w:tblPr>
      <w:tblStyleRowBandSize w:val="1"/>
      <w:tblStyleColBandSize w:val="1"/>
      <w:tblCellMar>
        <w:top w:w="100.0" w:type="dxa"/>
        <w:left w:w="100.0" w:type="dxa"/>
        <w:bottom w:w="100.0" w:type="dxa"/>
        <w:right w:w="100.0" w:type="dxa"/>
      </w:tblCellMar>
    </w:tblPr>
  </w:style>
  <w:style w:type="table" w:styleId="a4" w:customStyle="1">
    <w:basedOn w:val="TableNormal1"/>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A5181"/>
    <w:pPr>
      <w:tabs>
        <w:tab w:val="center" w:pos="4819"/>
        <w:tab w:val="right" w:pos="9638"/>
      </w:tabs>
      <w:spacing w:line="240" w:lineRule="auto"/>
    </w:pPr>
  </w:style>
  <w:style w:type="character" w:styleId="HeaderChar" w:customStyle="1">
    <w:name w:val="Header Char"/>
    <w:basedOn w:val="DefaultParagraphFont"/>
    <w:link w:val="Header"/>
    <w:uiPriority w:val="99"/>
    <w:rsid w:val="002A5181"/>
  </w:style>
  <w:style w:type="paragraph" w:styleId="Footer">
    <w:name w:val="footer"/>
    <w:basedOn w:val="Normal"/>
    <w:link w:val="FooterChar"/>
    <w:uiPriority w:val="99"/>
    <w:unhideWhenUsed w:val="1"/>
    <w:rsid w:val="002A5181"/>
    <w:pPr>
      <w:tabs>
        <w:tab w:val="center" w:pos="4819"/>
        <w:tab w:val="right" w:pos="9638"/>
      </w:tabs>
      <w:spacing w:line="240" w:lineRule="auto"/>
    </w:pPr>
  </w:style>
  <w:style w:type="character" w:styleId="FooterChar" w:customStyle="1">
    <w:name w:val="Footer Char"/>
    <w:basedOn w:val="DefaultParagraphFont"/>
    <w:link w:val="Footer"/>
    <w:uiPriority w:val="99"/>
    <w:rsid w:val="002A5181"/>
  </w:style>
  <w:style w:type="paragraph" w:styleId="NormalWeb">
    <w:name w:val="Normal (Web)"/>
    <w:basedOn w:val="Normal"/>
    <w:uiPriority w:val="99"/>
    <w:semiHidden w:val="1"/>
    <w:unhideWhenUsed w:val="1"/>
    <w:rsid w:val="00EA1298"/>
    <w:pPr>
      <w:spacing w:after="100" w:afterAutospacing="1" w:before="100" w:beforeAutospacing="1" w:line="240" w:lineRule="auto"/>
    </w:pPr>
    <w:rPr>
      <w:rFonts w:ascii="Times New Roman" w:cs="Times New Roman" w:eastAsia="Times New Roman" w:hAnsi="Times New Roman"/>
      <w:sz w:val="24"/>
      <w:szCs w:val="24"/>
    </w:rPr>
  </w:style>
  <w:style w:type="table" w:styleId="a5" w:customStyle="1">
    <w:basedOn w:val="TableNormal1"/>
    <w:tblPr>
      <w:tblStyleRowBandSize w:val="1"/>
      <w:tblStyleColBandSize w:val="1"/>
      <w:tblCellMar>
        <w:top w:w="100.0" w:type="dxa"/>
        <w:left w:w="100.0" w:type="dxa"/>
        <w:bottom w:w="100.0" w:type="dxa"/>
        <w:right w:w="100.0" w:type="dxa"/>
      </w:tblCellMar>
    </w:tblPr>
  </w:style>
  <w:style w:type="table" w:styleId="a6" w:customStyle="1">
    <w:basedOn w:val="TableNormal1"/>
    <w:tblPr>
      <w:tblStyleRowBandSize w:val="1"/>
      <w:tblStyleColBandSize w:val="1"/>
      <w:tblCellMar>
        <w:top w:w="100.0" w:type="dxa"/>
        <w:left w:w="100.0" w:type="dxa"/>
        <w:bottom w:w="100.0" w:type="dxa"/>
        <w:right w:w="100.0" w:type="dxa"/>
      </w:tblCellMar>
    </w:tblPr>
  </w:style>
  <w:style w:type="table" w:styleId="a7" w:customStyle="1">
    <w:basedOn w:val="TableNormal1"/>
    <w:tblPr>
      <w:tblStyleRowBandSize w:val="1"/>
      <w:tblStyleColBandSize w:val="1"/>
      <w:tblCellMar>
        <w:top w:w="100.0" w:type="dxa"/>
        <w:left w:w="100.0" w:type="dxa"/>
        <w:bottom w:w="100.0" w:type="dxa"/>
        <w:right w:w="100.0" w:type="dxa"/>
      </w:tblCellMar>
    </w:tblPr>
  </w:style>
  <w:style w:type="table" w:styleId="a8" w:customStyle="1">
    <w:basedOn w:val="TableNormal1"/>
    <w:tblPr>
      <w:tblStyleRowBandSize w:val="1"/>
      <w:tblStyleColBandSize w:val="1"/>
      <w:tblCellMar>
        <w:top w:w="100.0" w:type="dxa"/>
        <w:left w:w="100.0" w:type="dxa"/>
        <w:bottom w:w="100.0" w:type="dxa"/>
        <w:right w:w="100.0" w:type="dxa"/>
      </w:tblCellMar>
    </w:tblPr>
  </w:style>
  <w:style w:type="table" w:styleId="a9" w:customStyle="1">
    <w:basedOn w:val="TableNormal1"/>
    <w:tblPr>
      <w:tblStyleRowBandSize w:val="1"/>
      <w:tblStyleColBandSize w:val="1"/>
      <w:tblCellMar>
        <w:top w:w="100.0" w:type="dxa"/>
        <w:left w:w="100.0" w:type="dxa"/>
        <w:bottom w:w="100.0" w:type="dxa"/>
        <w:right w:w="100.0" w:type="dxa"/>
      </w:tblCellMar>
    </w:tblPr>
  </w:style>
  <w:style w:type="table" w:styleId="aa" w:customStyle="1">
    <w:basedOn w:val="TableNormal1"/>
    <w:tblPr>
      <w:tblStyleRowBandSize w:val="1"/>
      <w:tblStyleColBandSize w:val="1"/>
      <w:tblCellMar>
        <w:top w:w="100.0" w:type="dxa"/>
        <w:left w:w="100.0" w:type="dxa"/>
        <w:bottom w:w="100.0" w:type="dxa"/>
        <w:right w:w="100.0" w:type="dxa"/>
      </w:tblCellMar>
    </w:tblPr>
  </w:style>
  <w:style w:type="table" w:styleId="ab" w:customStyle="1">
    <w:basedOn w:val="TableNormal1"/>
    <w:tblPr>
      <w:tblStyleRowBandSize w:val="1"/>
      <w:tblStyleColBandSize w:val="1"/>
      <w:tblCellMar>
        <w:top w:w="100.0" w:type="dxa"/>
        <w:left w:w="100.0" w:type="dxa"/>
        <w:bottom w:w="100.0" w:type="dxa"/>
        <w:right w:w="100.0" w:type="dxa"/>
      </w:tblCellMar>
    </w:tblPr>
  </w:style>
  <w:style w:type="table" w:styleId="TableGrid">
    <w:name w:val="Table Grid"/>
    <w:basedOn w:val="TableNormal"/>
    <w:uiPriority w:val="39"/>
    <w:rsid w:val="00052D62"/>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WxfHpCvpSspDNFVW12ZsaYflxg==">CgMxLjAaHwoBMBIaChgICVIUChJ0YWJsZS5xYmJxZ2J0bm44dTUaHwoBMRIaChgICVIUChJ0YWJsZS5xdWdpeHIxM2xwdm84AHIhMUprX3hhdUcyTkFuZVpJbXZ3WnlBc3I0c3psSFpXdkc2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2024-08-28T07:59:00Z</dcterms:created>
  <dc:creator>Helle Dollerup Mortensen</dc:creator>
</cp:coreProperties>
</file>